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D4B" w:rsidRPr="001C506E" w:rsidRDefault="00B77D46" w:rsidP="00C55D4B">
      <w:pPr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noProof/>
          <w:spacing w:val="-4"/>
          <w:sz w:val="24"/>
          <w:szCs w:val="24"/>
          <w:lang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3.8pt;margin-top:171.2pt;width:171.95pt;height:31.2pt;z-index:251660288" stroked="f">
            <v:textbox style="mso-next-textbox:#_x0000_s1026">
              <w:txbxContent>
                <w:p w:rsidR="00C55D4B" w:rsidRPr="00D848F7" w:rsidRDefault="00C55D4B" w:rsidP="00C55D4B">
                  <w:pPr>
                    <w:jc w:val="both"/>
                    <w:rPr>
                      <w:rFonts w:ascii="Times New Roman" w:hAnsi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/>
                      <w:sz w:val="20"/>
                      <w:szCs w:val="18"/>
                    </w:rPr>
                    <w:t>Figura 1</w:t>
                  </w:r>
                  <w:r w:rsidRPr="00D848F7">
                    <w:rPr>
                      <w:rFonts w:ascii="Times New Roman" w:hAnsi="Times New Roman"/>
                      <w:sz w:val="20"/>
                      <w:szCs w:val="18"/>
                    </w:rPr>
                    <w:t xml:space="preserve">. </w:t>
                  </w:r>
                  <w:r>
                    <w:rPr>
                      <w:rFonts w:ascii="Times New Roman" w:hAnsi="Times New Roman"/>
                      <w:sz w:val="20"/>
                      <w:szCs w:val="18"/>
                    </w:rPr>
                    <w:t xml:space="preserve">Mapa de ubicación del PEEC. </w:t>
                  </w:r>
                </w:p>
              </w:txbxContent>
            </v:textbox>
          </v:shape>
        </w:pict>
      </w:r>
      <w:r w:rsidR="00C55D4B">
        <w:rPr>
          <w:rFonts w:ascii="Times New Roman" w:hAnsi="Times New Roman"/>
          <w:noProof/>
          <w:spacing w:val="-4"/>
          <w:sz w:val="24"/>
          <w:szCs w:val="24"/>
          <w:lang w:eastAsia="es-MX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-48867</wp:posOffset>
            </wp:positionH>
            <wp:positionV relativeFrom="margin">
              <wp:posOffset>2607045</wp:posOffset>
            </wp:positionV>
            <wp:extent cx="4007392" cy="2585139"/>
            <wp:effectExtent l="19050" t="0" r="0" b="0"/>
            <wp:wrapNone/>
            <wp:docPr id="4" name="Picture 1" descr="C:\Users\Jessik Mariana\Desktop\JeSsiIcA\Maestría\articulo\esparticul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sik Mariana\Desktop\JeSsiIcA\Maestría\articulo\esparticulo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561" t="2048" r="3185" b="4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392" cy="258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5D4B" w:rsidRPr="001C506E">
        <w:rPr>
          <w:rFonts w:ascii="Times New Roman" w:hAnsi="Times New Roman"/>
          <w:noProof/>
          <w:spacing w:val="-4"/>
          <w:sz w:val="24"/>
          <w:szCs w:val="24"/>
          <w:lang w:eastAsia="es-MX"/>
        </w:rPr>
        <w:drawing>
          <wp:inline distT="0" distB="0" distL="0" distR="0">
            <wp:extent cx="4029479" cy="2606723"/>
            <wp:effectExtent l="19050" t="0" r="9121" b="0"/>
            <wp:docPr id="9" name="Picture 1" descr="C:\Users\Jessik Mariana\Desktop\AP_CACALOMACAN_LOCALIZAC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sik Mariana\Desktop\AP_CACALOMACAN_LOCALIZACIO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897" cy="261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D4B" w:rsidRPr="001C506E" w:rsidRDefault="00C55D4B" w:rsidP="00C55D4B">
      <w:pPr>
        <w:rPr>
          <w:rFonts w:ascii="Times New Roman" w:hAnsi="Times New Roman"/>
          <w:spacing w:val="-4"/>
          <w:sz w:val="24"/>
          <w:szCs w:val="24"/>
        </w:rPr>
      </w:pPr>
    </w:p>
    <w:p w:rsidR="00C55D4B" w:rsidRPr="001C506E" w:rsidRDefault="00C55D4B" w:rsidP="00C55D4B">
      <w:pPr>
        <w:rPr>
          <w:rFonts w:ascii="Times New Roman" w:hAnsi="Times New Roman"/>
          <w:spacing w:val="-4"/>
          <w:sz w:val="24"/>
          <w:szCs w:val="24"/>
        </w:rPr>
      </w:pPr>
    </w:p>
    <w:p w:rsidR="00C55D4B" w:rsidRPr="001C506E" w:rsidRDefault="00C55D4B" w:rsidP="00C55D4B">
      <w:pPr>
        <w:rPr>
          <w:rFonts w:ascii="Times New Roman" w:hAnsi="Times New Roman"/>
          <w:spacing w:val="-4"/>
          <w:sz w:val="24"/>
          <w:szCs w:val="24"/>
        </w:rPr>
      </w:pPr>
    </w:p>
    <w:p w:rsidR="00C55D4B" w:rsidRPr="001C506E" w:rsidRDefault="00C55D4B" w:rsidP="00C55D4B">
      <w:pPr>
        <w:rPr>
          <w:rFonts w:ascii="Times New Roman" w:hAnsi="Times New Roman"/>
          <w:spacing w:val="-4"/>
          <w:sz w:val="24"/>
          <w:szCs w:val="24"/>
        </w:rPr>
      </w:pPr>
    </w:p>
    <w:p w:rsidR="00C55D4B" w:rsidRPr="001C506E" w:rsidRDefault="00C55D4B" w:rsidP="00C55D4B">
      <w:pPr>
        <w:rPr>
          <w:rFonts w:ascii="Times New Roman" w:hAnsi="Times New Roman"/>
          <w:spacing w:val="-4"/>
          <w:sz w:val="24"/>
          <w:szCs w:val="24"/>
        </w:rPr>
      </w:pPr>
    </w:p>
    <w:p w:rsidR="00C55D4B" w:rsidRPr="001C506E" w:rsidRDefault="00B77D46" w:rsidP="00C55D4B">
      <w:pPr>
        <w:rPr>
          <w:rFonts w:ascii="Times New Roman" w:hAnsi="Times New Roman"/>
          <w:spacing w:val="-4"/>
          <w:sz w:val="24"/>
          <w:szCs w:val="24"/>
        </w:rPr>
      </w:pPr>
      <w:r w:rsidRPr="00B77D46">
        <w:rPr>
          <w:rFonts w:ascii="Times New Roman" w:hAnsi="Times New Roman"/>
          <w:noProof/>
          <w:lang w:eastAsia="es-MX"/>
        </w:rPr>
        <w:pict>
          <v:shape id="_x0000_s1031" type="#_x0000_t202" style="position:absolute;margin-left:313.8pt;margin-top:24.4pt;width:166.05pt;height:43.5pt;z-index:251666432" stroked="f">
            <v:textbox style="mso-next-textbox:#_x0000_s1031">
              <w:txbxContent>
                <w:p w:rsidR="00C55D4B" w:rsidRPr="00D848F7" w:rsidRDefault="00C55D4B" w:rsidP="00C55D4B">
                  <w:pPr>
                    <w:jc w:val="both"/>
                    <w:rPr>
                      <w:rFonts w:ascii="Times New Roman" w:hAnsi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/>
                      <w:sz w:val="20"/>
                      <w:szCs w:val="18"/>
                    </w:rPr>
                    <w:t>Figura 2</w:t>
                  </w:r>
                  <w:r w:rsidRPr="00D848F7">
                    <w:rPr>
                      <w:rFonts w:ascii="Times New Roman" w:hAnsi="Times New Roman"/>
                      <w:sz w:val="20"/>
                      <w:szCs w:val="18"/>
                    </w:rPr>
                    <w:t xml:space="preserve">. </w:t>
                  </w:r>
                  <w:r>
                    <w:rPr>
                      <w:rFonts w:ascii="Times New Roman" w:hAnsi="Times New Roman"/>
                      <w:sz w:val="20"/>
                      <w:szCs w:val="18"/>
                    </w:rPr>
                    <w:t xml:space="preserve">Mapa de riqueza de especies por tipo de vegetación en el PEEC. </w:t>
                  </w:r>
                </w:p>
              </w:txbxContent>
            </v:textbox>
          </v:shape>
        </w:pict>
      </w:r>
    </w:p>
    <w:p w:rsidR="00C55D4B" w:rsidRPr="001C506E" w:rsidRDefault="00C55D4B" w:rsidP="00C55D4B">
      <w:pPr>
        <w:rPr>
          <w:rFonts w:ascii="Times New Roman" w:hAnsi="Times New Roman"/>
          <w:spacing w:val="-4"/>
          <w:sz w:val="24"/>
          <w:szCs w:val="24"/>
        </w:rPr>
      </w:pPr>
    </w:p>
    <w:p w:rsidR="00C55D4B" w:rsidRPr="001C506E" w:rsidRDefault="00C55D4B" w:rsidP="00C55D4B">
      <w:pPr>
        <w:rPr>
          <w:rFonts w:ascii="Times New Roman" w:hAnsi="Times New Roman"/>
          <w:spacing w:val="-4"/>
          <w:sz w:val="24"/>
          <w:szCs w:val="24"/>
        </w:rPr>
        <w:sectPr w:rsidR="00C55D4B" w:rsidRPr="001C506E" w:rsidSect="00C55D4B"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:rsidR="00C55D4B" w:rsidRPr="001C506E" w:rsidRDefault="00C55D4B" w:rsidP="00C55D4B">
      <w:pPr>
        <w:rPr>
          <w:rFonts w:ascii="Times New Roman" w:hAnsi="Times New Roman"/>
          <w:spacing w:val="-4"/>
          <w:sz w:val="24"/>
          <w:szCs w:val="24"/>
        </w:rPr>
      </w:pPr>
    </w:p>
    <w:p w:rsidR="00C55D4B" w:rsidRPr="001C506E" w:rsidRDefault="00B77D46" w:rsidP="00C55D4B">
      <w:pPr>
        <w:spacing w:line="240" w:lineRule="auto"/>
        <w:ind w:left="284" w:hanging="284"/>
        <w:jc w:val="both"/>
        <w:rPr>
          <w:rFonts w:ascii="Times New Roman" w:hAnsi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/>
          <w:b/>
          <w:bCs/>
          <w:noProof/>
          <w:spacing w:val="-4"/>
          <w:sz w:val="24"/>
          <w:szCs w:val="24"/>
          <w:lang w:eastAsia="es-MX"/>
        </w:rPr>
        <w:pict>
          <v:shape id="_x0000_s1027" type="#_x0000_t202" style="position:absolute;left:0;text-align:left;margin-left:286.6pt;margin-top:124.6pt;width:205.35pt;height:31.95pt;z-index:251661312" stroked="f">
            <v:textbox style="mso-next-textbox:#_x0000_s1027">
              <w:txbxContent>
                <w:p w:rsidR="00C55D4B" w:rsidRPr="00D848F7" w:rsidRDefault="005778BC" w:rsidP="00C55D4B">
                  <w:pPr>
                    <w:jc w:val="both"/>
                    <w:rPr>
                      <w:rFonts w:ascii="Times New Roman" w:hAnsi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/>
                      <w:sz w:val="20"/>
                      <w:szCs w:val="18"/>
                    </w:rPr>
                    <w:t>Figura 3</w:t>
                  </w:r>
                  <w:r w:rsidR="00C55D4B" w:rsidRPr="00D848F7">
                    <w:rPr>
                      <w:rFonts w:ascii="Times New Roman" w:hAnsi="Times New Roman"/>
                      <w:sz w:val="20"/>
                      <w:szCs w:val="18"/>
                    </w:rPr>
                    <w:t>. Modelos de acumulación de especies para la clase Amphibia en el PEEC.</w:t>
                  </w:r>
                </w:p>
              </w:txbxContent>
            </v:textbox>
          </v:shape>
        </w:pict>
      </w:r>
      <w:r w:rsidR="00C55D4B" w:rsidRPr="001C506E">
        <w:rPr>
          <w:rFonts w:ascii="Times New Roman" w:hAnsi="Times New Roman"/>
          <w:b/>
          <w:bCs/>
          <w:noProof/>
          <w:spacing w:val="-4"/>
          <w:sz w:val="24"/>
          <w:szCs w:val="24"/>
          <w:lang w:eastAsia="es-MX"/>
        </w:rPr>
        <w:drawing>
          <wp:inline distT="0" distB="0" distL="0" distR="0">
            <wp:extent cx="3487476" cy="1932167"/>
            <wp:effectExtent l="19050" t="0" r="17724" b="0"/>
            <wp:docPr id="10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55D4B" w:rsidRPr="001C506E" w:rsidRDefault="00B77D46" w:rsidP="00C55D4B">
      <w:pPr>
        <w:spacing w:line="240" w:lineRule="auto"/>
        <w:ind w:left="284" w:hanging="284"/>
        <w:jc w:val="both"/>
        <w:rPr>
          <w:rFonts w:ascii="Times New Roman" w:hAnsi="Times New Roman"/>
          <w:bCs/>
          <w:spacing w:val="-4"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sz w:val="24"/>
          <w:szCs w:val="24"/>
          <w:lang w:eastAsia="es-MX"/>
        </w:rPr>
        <w:lastRenderedPageBreak/>
        <w:pict>
          <v:shape id="_x0000_s1028" type="#_x0000_t202" style="position:absolute;left:0;text-align:left;margin-left:290.45pt;margin-top:121.95pt;width:205.35pt;height:31.95pt;z-index:251662336" stroked="f">
            <v:textbox style="mso-next-textbox:#_x0000_s1028">
              <w:txbxContent>
                <w:p w:rsidR="00C55D4B" w:rsidRPr="00D848F7" w:rsidRDefault="005778BC" w:rsidP="00C55D4B">
                  <w:pPr>
                    <w:jc w:val="both"/>
                    <w:rPr>
                      <w:rFonts w:ascii="Times New Roman" w:hAnsi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/>
                      <w:sz w:val="20"/>
                      <w:szCs w:val="18"/>
                    </w:rPr>
                    <w:t>Figura 4</w:t>
                  </w:r>
                  <w:r w:rsidR="00C55D4B" w:rsidRPr="00D848F7">
                    <w:rPr>
                      <w:rFonts w:ascii="Times New Roman" w:hAnsi="Times New Roman"/>
                      <w:sz w:val="20"/>
                      <w:szCs w:val="18"/>
                    </w:rPr>
                    <w:t xml:space="preserve">. Modelos de acumulación de especies para la clase </w:t>
                  </w:r>
                  <w:r w:rsidR="00C55D4B">
                    <w:rPr>
                      <w:rFonts w:ascii="Times New Roman" w:hAnsi="Times New Roman"/>
                      <w:sz w:val="20"/>
                      <w:szCs w:val="18"/>
                    </w:rPr>
                    <w:t>Reptilia</w:t>
                  </w:r>
                  <w:r w:rsidR="00C55D4B" w:rsidRPr="00D848F7">
                    <w:rPr>
                      <w:rFonts w:ascii="Times New Roman" w:hAnsi="Times New Roman"/>
                      <w:sz w:val="20"/>
                      <w:szCs w:val="18"/>
                    </w:rPr>
                    <w:t xml:space="preserve"> en el PEEC.</w:t>
                  </w:r>
                </w:p>
              </w:txbxContent>
            </v:textbox>
          </v:shape>
        </w:pict>
      </w:r>
      <w:r w:rsidR="00C55D4B" w:rsidRPr="001C506E">
        <w:rPr>
          <w:rFonts w:ascii="Times New Roman" w:hAnsi="Times New Roman"/>
          <w:noProof/>
          <w:spacing w:val="-4"/>
          <w:sz w:val="24"/>
          <w:szCs w:val="24"/>
          <w:lang w:eastAsia="es-MX"/>
        </w:rPr>
        <w:t xml:space="preserve"> </w:t>
      </w:r>
      <w:r w:rsidR="00C55D4B" w:rsidRPr="001C506E">
        <w:rPr>
          <w:rFonts w:ascii="Times New Roman" w:hAnsi="Times New Roman"/>
          <w:bCs/>
          <w:noProof/>
          <w:spacing w:val="-4"/>
          <w:sz w:val="24"/>
          <w:szCs w:val="24"/>
          <w:lang w:eastAsia="es-MX"/>
        </w:rPr>
        <w:drawing>
          <wp:inline distT="0" distB="0" distL="0" distR="0">
            <wp:extent cx="3456497" cy="2009955"/>
            <wp:effectExtent l="19050" t="0" r="10603" b="9345"/>
            <wp:docPr id="1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55D4B" w:rsidRPr="001C506E" w:rsidRDefault="00B77D46" w:rsidP="00C55D4B">
      <w:pPr>
        <w:spacing w:line="240" w:lineRule="auto"/>
        <w:ind w:left="284" w:hanging="284"/>
        <w:jc w:val="both"/>
        <w:rPr>
          <w:rFonts w:ascii="Times New Roman" w:hAnsi="Times New Roman"/>
          <w:bCs/>
          <w:spacing w:val="-4"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sz w:val="24"/>
          <w:szCs w:val="24"/>
          <w:lang w:eastAsia="es-MX"/>
        </w:rPr>
        <w:pict>
          <v:shape id="_x0000_s1029" type="#_x0000_t202" style="position:absolute;left:0;text-align:left;margin-left:282.75pt;margin-top:114.75pt;width:205.35pt;height:31.95pt;z-index:251663360" stroked="f">
            <v:textbox style="mso-next-textbox:#_x0000_s1029">
              <w:txbxContent>
                <w:p w:rsidR="00C55D4B" w:rsidRPr="00D848F7" w:rsidRDefault="005778BC" w:rsidP="00C55D4B">
                  <w:pPr>
                    <w:jc w:val="both"/>
                    <w:rPr>
                      <w:rFonts w:ascii="Times New Roman" w:hAnsi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/>
                      <w:sz w:val="20"/>
                      <w:szCs w:val="18"/>
                    </w:rPr>
                    <w:t>Figura 5</w:t>
                  </w:r>
                  <w:r w:rsidR="00C55D4B" w:rsidRPr="00D848F7">
                    <w:rPr>
                      <w:rFonts w:ascii="Times New Roman" w:hAnsi="Times New Roman"/>
                      <w:sz w:val="20"/>
                      <w:szCs w:val="18"/>
                    </w:rPr>
                    <w:t xml:space="preserve">. Modelos de acumulación de especies para la clase </w:t>
                  </w:r>
                  <w:r w:rsidR="00C55D4B">
                    <w:rPr>
                      <w:rFonts w:ascii="Times New Roman" w:hAnsi="Times New Roman"/>
                      <w:sz w:val="20"/>
                      <w:szCs w:val="18"/>
                    </w:rPr>
                    <w:t>Ave</w:t>
                  </w:r>
                  <w:r w:rsidR="00C55D4B" w:rsidRPr="00D848F7">
                    <w:rPr>
                      <w:rFonts w:ascii="Times New Roman" w:hAnsi="Times New Roman"/>
                      <w:sz w:val="20"/>
                      <w:szCs w:val="18"/>
                    </w:rPr>
                    <w:t xml:space="preserve"> en el PEEC.</w:t>
                  </w:r>
                </w:p>
              </w:txbxContent>
            </v:textbox>
          </v:shape>
        </w:pict>
      </w:r>
      <w:r w:rsidR="00C55D4B" w:rsidRPr="001C506E">
        <w:rPr>
          <w:rFonts w:ascii="Times New Roman" w:hAnsi="Times New Roman"/>
          <w:bCs/>
          <w:noProof/>
          <w:spacing w:val="-4"/>
          <w:sz w:val="24"/>
          <w:szCs w:val="24"/>
          <w:lang w:eastAsia="es-MX"/>
        </w:rPr>
        <w:drawing>
          <wp:inline distT="0" distB="0" distL="0" distR="0">
            <wp:extent cx="3492009" cy="1898818"/>
            <wp:effectExtent l="19050" t="0" r="13191" b="6182"/>
            <wp:docPr id="12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55D4B" w:rsidRPr="001C506E" w:rsidRDefault="00B77D46" w:rsidP="00C55D4B">
      <w:pPr>
        <w:spacing w:line="240" w:lineRule="auto"/>
        <w:ind w:left="284" w:hanging="284"/>
        <w:jc w:val="both"/>
        <w:rPr>
          <w:rFonts w:ascii="Times New Roman" w:hAnsi="Times New Roman"/>
          <w:bCs/>
          <w:spacing w:val="-4"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sz w:val="24"/>
          <w:szCs w:val="24"/>
          <w:lang w:eastAsia="es-MX"/>
        </w:rPr>
        <w:pict>
          <v:shape id="_x0000_s1030" type="#_x0000_t202" style="position:absolute;left:0;text-align:left;margin-left:286.6pt;margin-top:118.45pt;width:205.35pt;height:31.95pt;z-index:251664384" stroked="f">
            <v:textbox style="mso-next-textbox:#_x0000_s1030">
              <w:txbxContent>
                <w:p w:rsidR="00C55D4B" w:rsidRPr="00D848F7" w:rsidRDefault="005778BC" w:rsidP="00C55D4B">
                  <w:pPr>
                    <w:jc w:val="both"/>
                    <w:rPr>
                      <w:rFonts w:ascii="Times New Roman" w:hAnsi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/>
                      <w:sz w:val="20"/>
                      <w:szCs w:val="18"/>
                    </w:rPr>
                    <w:t>Figura 6</w:t>
                  </w:r>
                  <w:r w:rsidR="00C55D4B" w:rsidRPr="00D848F7">
                    <w:rPr>
                      <w:rFonts w:ascii="Times New Roman" w:hAnsi="Times New Roman"/>
                      <w:sz w:val="20"/>
                      <w:szCs w:val="18"/>
                    </w:rPr>
                    <w:t xml:space="preserve">. Modelos de acumulación de especies para la clase </w:t>
                  </w:r>
                  <w:r w:rsidR="00C55D4B">
                    <w:rPr>
                      <w:rFonts w:ascii="Times New Roman" w:hAnsi="Times New Roman"/>
                      <w:sz w:val="20"/>
                      <w:szCs w:val="18"/>
                    </w:rPr>
                    <w:t>Mamalia</w:t>
                  </w:r>
                  <w:r w:rsidR="00C55D4B" w:rsidRPr="00D848F7">
                    <w:rPr>
                      <w:rFonts w:ascii="Times New Roman" w:hAnsi="Times New Roman"/>
                      <w:sz w:val="20"/>
                      <w:szCs w:val="18"/>
                    </w:rPr>
                    <w:t xml:space="preserve"> en el PEEC.</w:t>
                  </w:r>
                </w:p>
              </w:txbxContent>
            </v:textbox>
          </v:shape>
        </w:pict>
      </w:r>
      <w:r w:rsidR="00C55D4B" w:rsidRPr="001C506E">
        <w:rPr>
          <w:rFonts w:ascii="Times New Roman" w:hAnsi="Times New Roman"/>
          <w:bCs/>
          <w:noProof/>
          <w:spacing w:val="-4"/>
          <w:sz w:val="24"/>
          <w:szCs w:val="24"/>
          <w:lang w:eastAsia="es-MX"/>
        </w:rPr>
        <w:drawing>
          <wp:inline distT="0" distB="0" distL="0" distR="0">
            <wp:extent cx="3492644" cy="1975449"/>
            <wp:effectExtent l="19050" t="0" r="12556" b="5751"/>
            <wp:docPr id="13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55D4B" w:rsidRPr="001C506E" w:rsidRDefault="00C55D4B" w:rsidP="00C55D4B">
      <w:pPr>
        <w:pStyle w:val="NoSpacing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  <w:sectPr w:rsidR="00C55D4B" w:rsidRPr="001C506E" w:rsidSect="008B0199">
          <w:type w:val="continuous"/>
          <w:pgSz w:w="12240" w:h="15840"/>
          <w:pgMar w:top="1418" w:right="1418" w:bottom="1418" w:left="1418" w:header="708" w:footer="708" w:gutter="0"/>
          <w:cols w:space="708"/>
          <w:docGrid w:linePitch="360"/>
        </w:sectPr>
      </w:pPr>
    </w:p>
    <w:p w:rsidR="005778BC" w:rsidRDefault="005778BC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5778BC" w:rsidRDefault="005778BC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5778BC" w:rsidRDefault="005778BC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5778BC" w:rsidRDefault="005778BC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5778BC" w:rsidRDefault="005778BC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5778BC" w:rsidRDefault="005778BC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5778BC" w:rsidRDefault="005778BC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5778BC" w:rsidRDefault="005778BC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5778BC" w:rsidRDefault="005778BC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5778BC" w:rsidRDefault="005778BC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5778BC" w:rsidRDefault="005778BC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5778BC" w:rsidRDefault="005778BC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5778BC" w:rsidRDefault="005778BC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C55D4B" w:rsidRPr="001C506E" w:rsidRDefault="00C55D4B" w:rsidP="00C55D4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1C506E">
        <w:rPr>
          <w:rFonts w:ascii="Times New Roman" w:hAnsi="Times New Roman"/>
          <w:b/>
          <w:spacing w:val="-4"/>
          <w:sz w:val="24"/>
          <w:szCs w:val="24"/>
        </w:rPr>
        <w:t>APÉNDICE 1</w:t>
      </w:r>
    </w:p>
    <w:tbl>
      <w:tblPr>
        <w:tblStyle w:val="TableGrid"/>
        <w:tblW w:w="5561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/>
      </w:tblPr>
      <w:tblGrid>
        <w:gridCol w:w="1595"/>
        <w:gridCol w:w="1857"/>
        <w:gridCol w:w="1928"/>
        <w:gridCol w:w="1239"/>
        <w:gridCol w:w="1185"/>
        <w:gridCol w:w="665"/>
        <w:gridCol w:w="2230"/>
      </w:tblGrid>
      <w:tr w:rsidR="00C55D4B" w:rsidRPr="009564A8" w:rsidTr="00701325">
        <w:trPr>
          <w:trHeight w:val="697"/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FAMILIA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NOMBRE CIENTÍFICO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 xml:space="preserve">NOMBRE </w:t>
            </w: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COMÚN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ENDEMISMO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NOM-O59-SEMARNAT-2001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bCs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bCs/>
                <w:spacing w:val="-4"/>
                <w:sz w:val="16"/>
                <w:szCs w:val="24"/>
              </w:rPr>
              <w:t>UICN 2011</w:t>
            </w: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bCs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bCs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bCs/>
                <w:spacing w:val="-4"/>
                <w:sz w:val="16"/>
                <w:szCs w:val="24"/>
              </w:rPr>
              <w:t>TIPO DE VEGETACIÓN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CLASE AMPHIBIA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Anura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Scaphipodidae</w:t>
            </w:r>
            <w:proofErr w:type="spellEnd"/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Spea multiplicata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Sapito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VR, BC-P, BP-C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Hylidae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Hyla eximia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Rana de árbol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VR, Z, VS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Hyla  plicata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Rana de árbol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A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Ranidae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Lithobates spectabilis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Rana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</w:t>
            </w:r>
          </w:p>
        </w:tc>
      </w:tr>
      <w:tr w:rsidR="00C55D4B" w:rsidRPr="009564A8" w:rsidTr="00701325">
        <w:trPr>
          <w:jc w:val="center"/>
        </w:trPr>
        <w:tc>
          <w:tcPr>
            <w:tcW w:w="3958" w:type="pct"/>
            <w:gridSpan w:val="6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Caudata</w:t>
            </w: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Plethodontidae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Pseudoeurycea bellii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Salamandra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A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</w:t>
            </w: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,BC-P, VS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CLASE REPTILIA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Squamata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Anguidae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Barisia imbricata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Escorpión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Pr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Z, VS, BC-P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Prynosomatidae</w:t>
            </w:r>
            <w:proofErr w:type="spellEnd"/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Sceloporus bicanthalis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Lagartija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Z , VS, BP-C, BC-P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  <w:t>Sceloporus grammicus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Lagartija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Pr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Z , BP-C, BC-P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  <w:t>Sceloporus aeneus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Lagartija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Z , BP-C, BC-P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Serpentes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Colubridae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bCs/>
                <w:i/>
                <w:spacing w:val="-4"/>
                <w:sz w:val="16"/>
                <w:szCs w:val="24"/>
                <w:lang w:val="es-ES_tradnl"/>
              </w:rPr>
              <w:t>Storeria storerioides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Culebra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BC-P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Cs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bCs/>
                <w:i/>
                <w:spacing w:val="-4"/>
                <w:sz w:val="16"/>
                <w:szCs w:val="24"/>
                <w:lang w:val="es-ES_tradnl"/>
              </w:rPr>
              <w:t>Thamnophis scalaris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Culebra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A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BP-C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Cs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bCs/>
                <w:i/>
                <w:spacing w:val="-4"/>
                <w:sz w:val="16"/>
                <w:szCs w:val="24"/>
                <w:lang w:val="es-ES_tradnl"/>
              </w:rPr>
              <w:t>Conopsis lineata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Culebra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color w:val="FF0000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Viperidae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Crotalus triseriatus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Víbora  de cascabel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Z, BC-P, VS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CLASE AVES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Apodiformes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Trochilidae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Hylocharis leucotis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Chupaflor  orejas blanca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BC-P, VS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Caprimulgiformes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Cathartidae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Cathartes aura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Aura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BC-P, BP-C, VS, VR, Z, 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Chordeiles</w:t>
            </w:r>
            <w:proofErr w:type="spellEnd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 xml:space="preserve">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acutipennis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Chotacabras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Z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Columbiformes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Columbidae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Columbina inca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Tórtola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Zenaida macroura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Huilota común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Z, C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  <w:lang w:val="es-ES_tradnl"/>
              </w:rPr>
              <w:t>Orden Cuculiformes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Cuculidae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Geococcyx  velox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Correcaminos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Z, C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Falconiformes</w:t>
            </w:r>
          </w:p>
        </w:tc>
      </w:tr>
      <w:tr w:rsidR="00C55D4B" w:rsidRPr="009564A8" w:rsidTr="00701325">
        <w:trPr>
          <w:trHeight w:val="123"/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Accipitridae</w:t>
            </w: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Accipiter striatus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Gavilán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 xml:space="preserve">Pr                       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BC-P, BP-C, VS, 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VR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, Z, 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Buteo jamaicensis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Aguililla común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Pr                       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BC-P, BP-C, VS, Z, 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Falco sparverius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Cernícalo  americano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BC-P, BP-C, VS, VR, Z, 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Falconidae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Falco peregrinus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Cernícalo peregrino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Pr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BP-C, VS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Parabuteo unicinctus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Aguililla de Harris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Pr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BP-C, VS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  <w:lang w:val="es-ES_tradnl"/>
              </w:rPr>
              <w:t>Orden Galliformes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Odontophoridae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Style w:val="Emphasis"/>
                <w:rFonts w:ascii="Times New Roman" w:hAnsi="Times New Roman"/>
                <w:i/>
                <w:spacing w:val="-4"/>
                <w:sz w:val="16"/>
                <w:szCs w:val="24"/>
              </w:rPr>
              <w:t>Dendrortyx macroura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Gallinita de monte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Endémica 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A               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VS, 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, Z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Passeriformes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Aegithalidae</w:t>
            </w:r>
            <w:proofErr w:type="spellEnd"/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Psaltriparus</w:t>
            </w:r>
            <w:proofErr w:type="spellEnd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 xml:space="preserve">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minimus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Sastrecillo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BC-P, BP-C, 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Cardinalidae</w:t>
            </w:r>
            <w:proofErr w:type="spellEnd"/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Pheucticus melanocephalus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 xml:space="preserve">Tigrillo </w:t>
            </w: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picogrueso</w:t>
            </w:r>
            <w:proofErr w:type="spellEnd"/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Semiendémica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BP-C, 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Corvidae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Cyanocitta stelleri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Chara  copetona o azulejo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BC-P, BP-C, 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Corvus</w:t>
            </w:r>
            <w:proofErr w:type="spellEnd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 xml:space="preserve">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corax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Cuervo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Z, C </w:t>
            </w:r>
          </w:p>
        </w:tc>
      </w:tr>
      <w:tr w:rsidR="00C55D4B" w:rsidRPr="009564A8" w:rsidTr="00701325">
        <w:trPr>
          <w:trHeight w:val="85"/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Emberezidae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 xml:space="preserve">Pipilo erythrophthalmus 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Pipilo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Oriturus</w:t>
            </w:r>
            <w:proofErr w:type="spellEnd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 xml:space="preserve"> superciliosus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Zacatonero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Z, VS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 xml:space="preserve">Junco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phaeonotus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Ojos de fuego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Cuasiendémica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, BC-P, Z, VS, 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Style w:val="Emphasis"/>
                <w:rFonts w:ascii="Times New Roman" w:hAnsi="Times New Roman"/>
                <w:i/>
                <w:spacing w:val="-4"/>
                <w:sz w:val="16"/>
                <w:szCs w:val="24"/>
              </w:rPr>
              <w:t>Atlapetes pileatus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Atlapetes gorrirrufo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Style w:val="Emphasis"/>
                <w:rFonts w:ascii="Times New Roman" w:hAnsi="Times New Roman"/>
                <w:b w:val="0"/>
                <w:i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Style w:val="Emphasis"/>
                <w:rFonts w:ascii="Times New Roman" w:hAnsi="Times New Roman"/>
                <w:i/>
                <w:spacing w:val="-4"/>
                <w:sz w:val="16"/>
                <w:szCs w:val="24"/>
              </w:rPr>
              <w:t>Arremon</w:t>
            </w:r>
            <w:proofErr w:type="spellEnd"/>
            <w:r w:rsidRPr="009564A8">
              <w:rPr>
                <w:rStyle w:val="Emphasis"/>
                <w:rFonts w:ascii="Times New Roman" w:hAnsi="Times New Roman"/>
                <w:i/>
                <w:spacing w:val="-4"/>
                <w:sz w:val="16"/>
                <w:szCs w:val="24"/>
              </w:rPr>
              <w:t xml:space="preserve"> </w:t>
            </w:r>
            <w:proofErr w:type="spellStart"/>
            <w:r w:rsidRPr="009564A8">
              <w:rPr>
                <w:rStyle w:val="Emphasis"/>
                <w:rFonts w:ascii="Times New Roman" w:hAnsi="Times New Roman"/>
                <w:i/>
                <w:spacing w:val="-4"/>
                <w:sz w:val="16"/>
                <w:szCs w:val="24"/>
              </w:rPr>
              <w:t>virenticeps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Atlapetes Rayas Verdes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>Xenospiza baileyi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Gorrión zacatero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Pr              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</w:t>
            </w: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>Chondestes</w:t>
            </w:r>
            <w:proofErr w:type="spellEnd"/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 xml:space="preserve"> </w:t>
            </w:r>
            <w:proofErr w:type="spellStart"/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>grammacus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Gorrión arlequín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BP-C, 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 xml:space="preserve">Melospiza </w:t>
            </w:r>
            <w:proofErr w:type="spellStart"/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>lincolnii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Gorrión de Lincoln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Style w:val="Emphasis"/>
                <w:rFonts w:ascii="Times New Roman" w:hAnsi="Times New Roman"/>
                <w:b w:val="0"/>
                <w:i/>
                <w:spacing w:val="-4"/>
                <w:sz w:val="16"/>
                <w:szCs w:val="24"/>
              </w:rPr>
            </w:pPr>
            <w:r w:rsidRPr="009564A8">
              <w:rPr>
                <w:rStyle w:val="Emphasis"/>
                <w:rFonts w:ascii="Times New Roman" w:hAnsi="Times New Roman"/>
                <w:i/>
                <w:spacing w:val="-4"/>
                <w:sz w:val="16"/>
                <w:szCs w:val="24"/>
              </w:rPr>
              <w:t>Melospiza melodia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Zorzal cantor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Fringillidae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Carpodacus  mexicanus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Gorrión  común mexicano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BC-P, BP-C, VS, VR, Z, 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Carduelis psaltria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Dominico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lastRenderedPageBreak/>
              <w:t>Hirundinidae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Hirundo rustica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Golondrina tijeretera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Z</w:t>
            </w:r>
          </w:p>
        </w:tc>
      </w:tr>
      <w:tr w:rsidR="00C55D4B" w:rsidRPr="009564A8" w:rsidTr="00701325">
        <w:trPr>
          <w:trHeight w:val="140"/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Lanidae</w:t>
            </w:r>
            <w:proofErr w:type="spellEnd"/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Lanius</w:t>
            </w:r>
            <w:proofErr w:type="spellEnd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 xml:space="preserve">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ludovicianus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Verdugo americano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BP-C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FAMILIA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NOMBRE CIENTÍFICO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NOMBRE COMÚN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ENDEMISMO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NOM-O59-SEMARNAT-2001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bCs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bCs/>
                <w:spacing w:val="-4"/>
                <w:sz w:val="16"/>
                <w:szCs w:val="24"/>
              </w:rPr>
              <w:t>UICN,  2011</w:t>
            </w: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bCs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jc w:val="center"/>
              <w:rPr>
                <w:rFonts w:ascii="Times New Roman" w:hAnsi="Times New Roman"/>
                <w:b/>
                <w:bCs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bCs/>
                <w:spacing w:val="-4"/>
                <w:sz w:val="16"/>
                <w:szCs w:val="24"/>
              </w:rPr>
              <w:t>TIPO DE VEGETACIÓN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Mimidae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Turdus migratorius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Primavera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BP-C, VS, 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Mimus gilvus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Cenzontle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BP-C, VS, 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Toxostoma curvirostre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Cuitlacoche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BP-C, VS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 xml:space="preserve">Toxostoma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ocellatum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Cuitlacoche ocelado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BP-C, VS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Muscicapidae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Sialia mexicana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Azulejo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, BC-P, BP-C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Catharus occidentalis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Zorzal  mexicano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, BC-P, BP-C,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 xml:space="preserve">Catharus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guttatus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Zorzal Cola rufa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, BC-P, BP-C,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Parulidae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Style w:val="Emphasis"/>
                <w:rFonts w:ascii="Times New Roman" w:hAnsi="Times New Roman"/>
                <w:i/>
                <w:spacing w:val="-4"/>
                <w:sz w:val="16"/>
                <w:szCs w:val="24"/>
              </w:rPr>
              <w:t>Ergaticus ruber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Chipe rojo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VR, BC-P, BP-C, Z, VS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Dendroica coronata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Chipe  gris y amarillo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BC-P, BP-C,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Dendroica fusca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Chipe Garganta Naranja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BC-P, BP-C,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Oporornis</w:t>
            </w:r>
            <w:proofErr w:type="spellEnd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 xml:space="preserve">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tolmiei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 xml:space="preserve">Chipe de </w:t>
            </w: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Tolmie</w:t>
            </w:r>
            <w:proofErr w:type="spellEnd"/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A                 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, BC-P, BP-C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>Myioborus miniatus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Pavito selvático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VS, BC-P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 xml:space="preserve">Vermivora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crissalis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Chipe de colima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Semiendémica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Pr               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NT</w:t>
            </w: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, BC-P, BP-C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>Vermivora celata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Chipe corona naranja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, BC-P, BP-C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>Wilsonia</w:t>
            </w:r>
            <w:proofErr w:type="spellEnd"/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 xml:space="preserve"> </w:t>
            </w:r>
            <w:proofErr w:type="spellStart"/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>pusilla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Chipe corona Negra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BC-P, 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Ptilogonatidae</w:t>
            </w:r>
            <w:proofErr w:type="spellEnd"/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>Ptilogonys</w:t>
            </w:r>
            <w:proofErr w:type="spellEnd"/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 xml:space="preserve"> </w:t>
            </w:r>
            <w:proofErr w:type="spellStart"/>
            <w:r w:rsidRPr="009564A8">
              <w:rPr>
                <w:rStyle w:val="arial12centerboldpies"/>
                <w:rFonts w:ascii="Times New Roman" w:hAnsi="Times New Roman"/>
                <w:i/>
                <w:spacing w:val="-4"/>
                <w:sz w:val="16"/>
                <w:szCs w:val="24"/>
              </w:rPr>
              <w:t>cinereus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Capulinero</w:t>
            </w:r>
            <w:proofErr w:type="spellEnd"/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Cuasiendémica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BC-P, BP-C</w:t>
            </w:r>
          </w:p>
        </w:tc>
      </w:tr>
      <w:tr w:rsidR="00C55D4B" w:rsidRPr="005778BC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Regulidae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Regulus calendula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Reyezuelo copete rojo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VR, BC-P, BP-C, VS</w:t>
            </w:r>
          </w:p>
        </w:tc>
      </w:tr>
      <w:tr w:rsidR="00C55D4B" w:rsidRPr="005778BC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Regulus satrapa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Reyezuelo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VR, BC-P, BP-C, VS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Troglodytidae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 xml:space="preserve">Troglodytes aedon 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Troglodita  continental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BC-P, BP-C, 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Tyrannidae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Contopus</w:t>
            </w:r>
            <w:proofErr w:type="spellEnd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 xml:space="preserve">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pertinax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Papamoscas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BP-C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Empidonax hammondii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Mosquero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Empidonax occidentalis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Mosquero </w:t>
            </w: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Barranqueño</w:t>
            </w:r>
            <w:proofErr w:type="spellEnd"/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 xml:space="preserve">Empidonax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fulvifrons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Mosquero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Z</w:t>
            </w:r>
          </w:p>
        </w:tc>
      </w:tr>
      <w:tr w:rsidR="00C55D4B" w:rsidRPr="005778BC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Pyrocephalus</w:t>
            </w:r>
            <w:proofErr w:type="spellEnd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 xml:space="preserve">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rubinus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Mosquero cardenalito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BC-P, BP-C, VR, VS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Piciformes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Picidae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Picoides scalaris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Carpinterillo mexicano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BP-C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 xml:space="preserve">Picoides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villosus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Carpintero Velloso Mayor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PC-P, BP-C, VS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Strigiformes</w:t>
            </w:r>
          </w:p>
        </w:tc>
      </w:tr>
      <w:tr w:rsidR="00C55D4B" w:rsidRPr="005778BC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Tytonidae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Tyto alba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Lechuza  de granero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BC-P,B P-C, VS, VR, Z, 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Strigidae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Aegolius</w:t>
            </w:r>
            <w:proofErr w:type="spellEnd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 xml:space="preserve">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acadicus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Tecolotico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BC-P,B P-C,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Bubo virginianus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Búho  cornudo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 xml:space="preserve">BC-P,B P-C, 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VR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, 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 xml:space="preserve">Micrathene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whitneyi</w:t>
            </w:r>
            <w:proofErr w:type="spellEnd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 xml:space="preserve"> 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Búho elfo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Semiendémica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BC-P, Z, VS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Otus</w:t>
            </w:r>
            <w:proofErr w:type="spellEnd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 xml:space="preserve"> </w:t>
            </w:r>
            <w:proofErr w:type="spellStart"/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flammeolus</w:t>
            </w:r>
            <w:proofErr w:type="spellEnd"/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Tecolote rayado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Semiendémica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B P-C, VS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CLASE MAMMALIA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Carnivora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Canidae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  <w:t>Canis latrans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Coyote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Z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Procyonidae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  <w:t>Bassariscus astutus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Cacomixtle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>
              <w:rPr>
                <w:rFonts w:ascii="Times New Roman" w:hAnsi="Times New Roman"/>
                <w:spacing w:val="-4"/>
                <w:sz w:val="16"/>
                <w:szCs w:val="24"/>
              </w:rPr>
              <w:t xml:space="preserve">VS, 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Mephitidae</w:t>
            </w:r>
            <w:proofErr w:type="spellEnd"/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Mephitis macroura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Zorrillo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VR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Mustelidae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Mustela frenata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Hurón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>
              <w:rPr>
                <w:rFonts w:ascii="Times New Roman" w:hAnsi="Times New Roman"/>
                <w:spacing w:val="-4"/>
                <w:sz w:val="16"/>
                <w:szCs w:val="24"/>
              </w:rPr>
              <w:t xml:space="preserve">VS, 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BP-C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 xml:space="preserve">Orden </w:t>
            </w:r>
            <w:proofErr w:type="spellStart"/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Cingulata</w:t>
            </w:r>
            <w:proofErr w:type="spellEnd"/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Dasypodidae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</w:rPr>
              <w:t>Dasypus novemcinctus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Armadillo 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>
              <w:rPr>
                <w:rFonts w:ascii="Times New Roman" w:hAnsi="Times New Roman"/>
                <w:spacing w:val="-4"/>
                <w:sz w:val="16"/>
                <w:szCs w:val="24"/>
              </w:rPr>
              <w:t xml:space="preserve">VS, 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  <w:lang w:val="es-ES_tradnl"/>
              </w:rPr>
              <w:t>Orden Didelphimorpha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Didelphidae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  <w:t>Didelphis virginiana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Tlacuache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VR</w:t>
            </w:r>
            <w:r>
              <w:rPr>
                <w:rFonts w:ascii="Times New Roman" w:hAnsi="Times New Roman"/>
                <w:spacing w:val="-4"/>
                <w:sz w:val="16"/>
                <w:szCs w:val="24"/>
              </w:rPr>
              <w:t xml:space="preserve">, 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 BC-P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Lagomorpha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Leporidae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Sylvilagus floridanus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Conejo silvestre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Z, VS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s-ES_tradnl"/>
              </w:rPr>
              <w:t>Sylvilagus cunicularius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Conejo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Z, BC-P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b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Orden Rodentia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Sciuridae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  <w:t>Sciurus aureogaster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Ardilla  de árbol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BC-P-BP-C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 w:val="restar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Geomyidae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  <w:t>Cratogeomys merriami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Tuza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 Z, BC-P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  <w:vMerge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  <w:t>Cratogeomys fumosus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Tuza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A</w:t>
            </w: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 Z, BC-P</w:t>
            </w:r>
          </w:p>
        </w:tc>
      </w:tr>
      <w:tr w:rsidR="00C55D4B" w:rsidRPr="009564A8" w:rsidTr="00701325">
        <w:trPr>
          <w:jc w:val="center"/>
        </w:trPr>
        <w:tc>
          <w:tcPr>
            <w:tcW w:w="745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n-US"/>
              </w:rPr>
              <w:t>Muridae</w:t>
            </w:r>
          </w:p>
        </w:tc>
        <w:tc>
          <w:tcPr>
            <w:tcW w:w="868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</w:pPr>
            <w:r w:rsidRPr="009564A8">
              <w:rPr>
                <w:rFonts w:ascii="Times New Roman" w:hAnsi="Times New Roman"/>
                <w:i/>
                <w:spacing w:val="-4"/>
                <w:sz w:val="16"/>
                <w:szCs w:val="24"/>
                <w:lang w:val="en-US"/>
              </w:rPr>
              <w:t>Neotomodon alstoni</w:t>
            </w:r>
          </w:p>
        </w:tc>
        <w:tc>
          <w:tcPr>
            <w:tcW w:w="90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Ratón</w:t>
            </w:r>
          </w:p>
        </w:tc>
        <w:tc>
          <w:tcPr>
            <w:tcW w:w="579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  <w:lang w:val="es-ES_tradnl"/>
              </w:rPr>
              <w:t>Endémica</w:t>
            </w:r>
          </w:p>
        </w:tc>
        <w:tc>
          <w:tcPr>
            <w:tcW w:w="554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311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  <w:tc>
          <w:tcPr>
            <w:tcW w:w="1042" w:type="pct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VS, BP-C</w:t>
            </w:r>
          </w:p>
        </w:tc>
      </w:tr>
      <w:tr w:rsidR="00C55D4B" w:rsidRPr="009564A8" w:rsidTr="00701325">
        <w:trPr>
          <w:jc w:val="center"/>
        </w:trPr>
        <w:tc>
          <w:tcPr>
            <w:tcW w:w="5000" w:type="pct"/>
            <w:gridSpan w:val="7"/>
          </w:tcPr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NOM.059, 2010: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 A. Amenazada, Pr. Protección especial, E. Peligro de Extinción.               </w:t>
            </w: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Endémica de México* </w:t>
            </w: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UICN, 2010: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 EN. </w:t>
            </w: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Endangered</w:t>
            </w:r>
            <w:proofErr w:type="spellEnd"/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  (En peligro), NT. </w:t>
            </w: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Near</w:t>
            </w:r>
            <w:proofErr w:type="spellEnd"/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 </w:t>
            </w:r>
            <w:proofErr w:type="spellStart"/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threaned</w:t>
            </w:r>
            <w:proofErr w:type="spellEnd"/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 (Cerca de amenaza).</w:t>
            </w: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 xml:space="preserve">Hábitat: VR: 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>Vegetación riparia,</w:t>
            </w: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 xml:space="preserve"> Z: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 Zacatonal, </w:t>
            </w: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VS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: Vegetación secundaria, </w:t>
            </w: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BP-C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: Bosque de Pinus-Cupressus; </w:t>
            </w: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BC-P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: Bosque de Cupressus-Pinus, </w:t>
            </w:r>
            <w:r w:rsidRPr="009564A8">
              <w:rPr>
                <w:rFonts w:ascii="Times New Roman" w:hAnsi="Times New Roman"/>
                <w:b/>
                <w:spacing w:val="-4"/>
                <w:sz w:val="16"/>
                <w:szCs w:val="24"/>
              </w:rPr>
              <w:t>C:</w:t>
            </w:r>
            <w:r w:rsidRPr="009564A8">
              <w:rPr>
                <w:rFonts w:ascii="Times New Roman" w:hAnsi="Times New Roman"/>
                <w:spacing w:val="-4"/>
                <w:sz w:val="16"/>
                <w:szCs w:val="24"/>
              </w:rPr>
              <w:t xml:space="preserve"> Cultivo</w:t>
            </w:r>
          </w:p>
          <w:p w:rsidR="00C55D4B" w:rsidRPr="009564A8" w:rsidRDefault="00C55D4B" w:rsidP="00701325">
            <w:pPr>
              <w:pStyle w:val="NoSpacing"/>
              <w:rPr>
                <w:rFonts w:ascii="Times New Roman" w:hAnsi="Times New Roman"/>
                <w:spacing w:val="-4"/>
                <w:sz w:val="16"/>
                <w:szCs w:val="24"/>
              </w:rPr>
            </w:pPr>
          </w:p>
        </w:tc>
      </w:tr>
    </w:tbl>
    <w:p w:rsidR="00C55D4B" w:rsidRPr="001C506E" w:rsidRDefault="00C55D4B" w:rsidP="00C55D4B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C55D4B" w:rsidRDefault="00C55D4B" w:rsidP="00C55D4B">
      <w:pPr>
        <w:pStyle w:val="NoSpacing"/>
        <w:ind w:left="284" w:hanging="284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7972EA" w:rsidRDefault="007972EA"/>
    <w:sectPr w:rsidR="007972EA" w:rsidSect="008B0199">
      <w:type w:val="continuous"/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55D4B"/>
    <w:rsid w:val="005778BC"/>
    <w:rsid w:val="007972EA"/>
    <w:rsid w:val="00B77D46"/>
    <w:rsid w:val="00C55D4B"/>
    <w:rsid w:val="00CB3FC3"/>
    <w:rsid w:val="00CD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ind w:left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D4B"/>
    <w:pPr>
      <w:spacing w:after="200" w:line="276" w:lineRule="auto"/>
      <w:ind w:left="0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C55D4B"/>
    <w:rPr>
      <w:b/>
      <w:bCs/>
      <w:i w:val="0"/>
      <w:iCs w:val="0"/>
    </w:rPr>
  </w:style>
  <w:style w:type="character" w:customStyle="1" w:styleId="arial12centerboldpies">
    <w:name w:val="arial12centerboldpies"/>
    <w:basedOn w:val="DefaultParagraphFont"/>
    <w:rsid w:val="00C55D4B"/>
  </w:style>
  <w:style w:type="paragraph" w:styleId="NoSpacing">
    <w:name w:val="No Spacing"/>
    <w:link w:val="NoSpacingChar"/>
    <w:uiPriority w:val="1"/>
    <w:qFormat/>
    <w:rsid w:val="00C55D4B"/>
    <w:pPr>
      <w:ind w:left="0"/>
      <w:jc w:val="left"/>
    </w:pPr>
  </w:style>
  <w:style w:type="character" w:customStyle="1" w:styleId="NoSpacingChar">
    <w:name w:val="No Spacing Char"/>
    <w:basedOn w:val="DefaultParagraphFont"/>
    <w:link w:val="NoSpacing"/>
    <w:uiPriority w:val="1"/>
    <w:rsid w:val="00C55D4B"/>
  </w:style>
  <w:style w:type="character" w:customStyle="1" w:styleId="st1">
    <w:name w:val="st1"/>
    <w:basedOn w:val="DefaultParagraphFont"/>
    <w:rsid w:val="00C55D4B"/>
  </w:style>
  <w:style w:type="table" w:styleId="TableGrid">
    <w:name w:val="Table Grid"/>
    <w:basedOn w:val="TableNormal"/>
    <w:uiPriority w:val="59"/>
    <w:rsid w:val="00C55D4B"/>
    <w:pPr>
      <w:ind w:left="0"/>
      <w:jc w:val="left"/>
    </w:pPr>
    <w:rPr>
      <w:rFonts w:ascii="Calibri" w:eastAsia="Calibri" w:hAnsi="Calibri" w:cs="Times New Roman"/>
      <w:sz w:val="20"/>
      <w:szCs w:val="20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5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D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essik%20Mariana\Desktop\JeSsiIcA\Maestr&#237;a\articulo\curv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essik%20Mariana\Desktop\JeSsiIcA\Maestr&#237;a\articulo\curv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essik%20Mariana\Desktop\JeSsiIcA\Maestr&#237;a\articulo\curv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essik%20Mariana\Desktop\JeSsiIcA\Maestr&#237;a\articulo\curv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MX"/>
  <c:chart>
    <c:autoTitleDeleted val="1"/>
    <c:plotArea>
      <c:layout>
        <c:manualLayout>
          <c:layoutTarget val="inner"/>
          <c:xMode val="edge"/>
          <c:yMode val="edge"/>
          <c:x val="0.10790210455928702"/>
          <c:y val="8.1638905953783078E-2"/>
          <c:w val="0.8211824253414215"/>
          <c:h val="0.7042087976867426"/>
        </c:manualLayout>
      </c:layout>
      <c:lineChart>
        <c:grouping val="standard"/>
        <c:ser>
          <c:idx val="0"/>
          <c:order val="0"/>
          <c:tx>
            <c:strRef>
              <c:f>anfibios!$R$16</c:f>
              <c:strCache>
                <c:ptCount val="1"/>
                <c:pt idx="0">
                  <c:v>Observadas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anfibios!$S$16:$AQ$16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3</c:v>
                </c:pt>
                <c:pt idx="11">
                  <c:v>3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5</c:v>
                </c:pt>
                <c:pt idx="16">
                  <c:v>5</c:v>
                </c:pt>
                <c:pt idx="17">
                  <c:v>5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>
                  <c:v>5</c:v>
                </c:pt>
                <c:pt idx="24">
                  <c:v>5</c:v>
                </c:pt>
              </c:numCache>
            </c:numRef>
          </c:val>
        </c:ser>
        <c:ser>
          <c:idx val="1"/>
          <c:order val="1"/>
          <c:tx>
            <c:strRef>
              <c:f>anfibios!$R$17</c:f>
              <c:strCache>
                <c:ptCount val="1"/>
                <c:pt idx="0">
                  <c:v>Chao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anfibios!$S$17:$AQ$17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1.6500000000000001</c:v>
                </c:pt>
                <c:pt idx="7">
                  <c:v>1.6900000000000062</c:v>
                </c:pt>
                <c:pt idx="8">
                  <c:v>3.05</c:v>
                </c:pt>
                <c:pt idx="9">
                  <c:v>3.94</c:v>
                </c:pt>
                <c:pt idx="10">
                  <c:v>4.91</c:v>
                </c:pt>
                <c:pt idx="11">
                  <c:v>4.9300000000000024</c:v>
                </c:pt>
                <c:pt idx="12">
                  <c:v>5.6499999999999995</c:v>
                </c:pt>
                <c:pt idx="13">
                  <c:v>5.6499999999999995</c:v>
                </c:pt>
                <c:pt idx="14">
                  <c:v>5.6499999999999995</c:v>
                </c:pt>
                <c:pt idx="15">
                  <c:v>6</c:v>
                </c:pt>
                <c:pt idx="16">
                  <c:v>6</c:v>
                </c:pt>
                <c:pt idx="17">
                  <c:v>6</c:v>
                </c:pt>
                <c:pt idx="18">
                  <c:v>6</c:v>
                </c:pt>
                <c:pt idx="19">
                  <c:v>6</c:v>
                </c:pt>
                <c:pt idx="20">
                  <c:v>6</c:v>
                </c:pt>
                <c:pt idx="21">
                  <c:v>6</c:v>
                </c:pt>
                <c:pt idx="22">
                  <c:v>6</c:v>
                </c:pt>
                <c:pt idx="23">
                  <c:v>6</c:v>
                </c:pt>
                <c:pt idx="24">
                  <c:v>6</c:v>
                </c:pt>
              </c:numCache>
            </c:numRef>
          </c:val>
        </c:ser>
        <c:ser>
          <c:idx val="2"/>
          <c:order val="2"/>
          <c:tx>
            <c:strRef>
              <c:f>anfibios!$R$18</c:f>
              <c:strCache>
                <c:ptCount val="1"/>
                <c:pt idx="0">
                  <c:v>Jackknife 1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anfibios!$S$18:$AQ$18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2.04</c:v>
                </c:pt>
                <c:pt idx="7">
                  <c:v>2.06</c:v>
                </c:pt>
                <c:pt idx="8">
                  <c:v>3.16</c:v>
                </c:pt>
                <c:pt idx="9">
                  <c:v>3.2600000000000002</c:v>
                </c:pt>
                <c:pt idx="10">
                  <c:v>5.17</c:v>
                </c:pt>
                <c:pt idx="11">
                  <c:v>5.17</c:v>
                </c:pt>
                <c:pt idx="12">
                  <c:v>6</c:v>
                </c:pt>
                <c:pt idx="13">
                  <c:v>6</c:v>
                </c:pt>
                <c:pt idx="14">
                  <c:v>6.01</c:v>
                </c:pt>
                <c:pt idx="15">
                  <c:v>6.21</c:v>
                </c:pt>
                <c:pt idx="16">
                  <c:v>6.21</c:v>
                </c:pt>
                <c:pt idx="17">
                  <c:v>6.21</c:v>
                </c:pt>
                <c:pt idx="18">
                  <c:v>6.21</c:v>
                </c:pt>
                <c:pt idx="19">
                  <c:v>6.21</c:v>
                </c:pt>
                <c:pt idx="20">
                  <c:v>6.21</c:v>
                </c:pt>
                <c:pt idx="21">
                  <c:v>6.21</c:v>
                </c:pt>
                <c:pt idx="22">
                  <c:v>6.21</c:v>
                </c:pt>
                <c:pt idx="23">
                  <c:v>6.21</c:v>
                </c:pt>
                <c:pt idx="24">
                  <c:v>6.21</c:v>
                </c:pt>
              </c:numCache>
            </c:numRef>
          </c:val>
        </c:ser>
        <c:ser>
          <c:idx val="3"/>
          <c:order val="3"/>
          <c:tx>
            <c:strRef>
              <c:f>anfibios!$R$19</c:f>
              <c:strCache>
                <c:ptCount val="1"/>
                <c:pt idx="0">
                  <c:v>Jackknife 2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anfibios!$S$19:$AQ$19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2.38</c:v>
                </c:pt>
                <c:pt idx="7">
                  <c:v>2.2000000000000002</c:v>
                </c:pt>
                <c:pt idx="8">
                  <c:v>3.09</c:v>
                </c:pt>
                <c:pt idx="9">
                  <c:v>3.25</c:v>
                </c:pt>
                <c:pt idx="10">
                  <c:v>5.1199999999999966</c:v>
                </c:pt>
                <c:pt idx="11">
                  <c:v>5.13</c:v>
                </c:pt>
                <c:pt idx="12">
                  <c:v>6.07</c:v>
                </c:pt>
                <c:pt idx="13">
                  <c:v>6.07</c:v>
                </c:pt>
                <c:pt idx="14">
                  <c:v>6.53</c:v>
                </c:pt>
                <c:pt idx="15">
                  <c:v>6.73</c:v>
                </c:pt>
                <c:pt idx="16">
                  <c:v>6.73</c:v>
                </c:pt>
                <c:pt idx="17">
                  <c:v>6.73</c:v>
                </c:pt>
                <c:pt idx="18">
                  <c:v>6.73</c:v>
                </c:pt>
                <c:pt idx="19">
                  <c:v>6.73</c:v>
                </c:pt>
                <c:pt idx="20">
                  <c:v>6.73</c:v>
                </c:pt>
                <c:pt idx="21">
                  <c:v>6.73</c:v>
                </c:pt>
                <c:pt idx="22">
                  <c:v>6.73</c:v>
                </c:pt>
                <c:pt idx="23">
                  <c:v>6.73</c:v>
                </c:pt>
                <c:pt idx="24">
                  <c:v>6.73</c:v>
                </c:pt>
              </c:numCache>
            </c:numRef>
          </c:val>
        </c:ser>
        <c:marker val="1"/>
        <c:axId val="90952832"/>
        <c:axId val="93132288"/>
      </c:lineChart>
      <c:catAx>
        <c:axId val="909528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700"/>
                </a:pPr>
                <a:r>
                  <a:rPr lang="es-MX" sz="700" b="0">
                    <a:latin typeface="Times New Roman" pitchFamily="18" charset="0"/>
                    <a:cs typeface="Times New Roman" pitchFamily="18" charset="0"/>
                  </a:rPr>
                  <a:t>Meses</a:t>
                </a:r>
              </a:p>
            </c:rich>
          </c:tx>
          <c:layout>
            <c:manualLayout>
              <c:xMode val="edge"/>
              <c:yMode val="edge"/>
              <c:x val="0.45036123546083184"/>
              <c:y val="0.86016012073490256"/>
            </c:manualLayout>
          </c:layout>
        </c:title>
        <c:majorTickMark val="none"/>
        <c:tickLblPos val="nextTo"/>
        <c:txPr>
          <a:bodyPr/>
          <a:lstStyle/>
          <a:p>
            <a:pPr>
              <a:defRPr sz="600">
                <a:latin typeface="Times New Roman" pitchFamily="18" charset="0"/>
                <a:cs typeface="Times New Roman" pitchFamily="18" charset="0"/>
              </a:defRPr>
            </a:pPr>
            <a:endParaRPr lang="es-MX"/>
          </a:p>
        </c:txPr>
        <c:crossAx val="93132288"/>
        <c:crosses val="autoZero"/>
        <c:auto val="1"/>
        <c:lblAlgn val="ctr"/>
        <c:lblOffset val="100"/>
      </c:catAx>
      <c:valAx>
        <c:axId val="9313228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700"/>
                </a:pPr>
                <a:r>
                  <a:rPr lang="es-MX" sz="700" b="0">
                    <a:latin typeface="Times New Roman" pitchFamily="18" charset="0"/>
                    <a:cs typeface="Times New Roman" pitchFamily="18" charset="0"/>
                  </a:rPr>
                  <a:t>Número</a:t>
                </a:r>
                <a:r>
                  <a:rPr lang="es-MX" sz="700" b="0" baseline="0">
                    <a:latin typeface="Times New Roman" pitchFamily="18" charset="0"/>
                    <a:cs typeface="Times New Roman" pitchFamily="18" charset="0"/>
                  </a:rPr>
                  <a:t> de especies</a:t>
                </a:r>
                <a:endParaRPr lang="es-MX" sz="7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6290578057024812E-2"/>
              <c:y val="0.19814850372664489"/>
            </c:manualLayout>
          </c:layout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600">
                <a:latin typeface="Times New Roman" pitchFamily="18" charset="0"/>
                <a:cs typeface="Times New Roman" pitchFamily="18" charset="0"/>
              </a:defRPr>
            </a:pPr>
            <a:endParaRPr lang="es-MX"/>
          </a:p>
        </c:txPr>
        <c:crossAx val="909528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8.8602473536735726E-2"/>
          <c:y val="0.94483026418042215"/>
          <c:w val="0.82904226437688111"/>
          <c:h val="5.4786261234687897E-2"/>
        </c:manualLayout>
      </c:layout>
      <c:txPr>
        <a:bodyPr/>
        <a:lstStyle/>
        <a:p>
          <a:pPr>
            <a:defRPr sz="700">
              <a:latin typeface="Times New Roman" pitchFamily="18" charset="0"/>
              <a:cs typeface="Times New Roman" pitchFamily="18" charset="0"/>
            </a:defRPr>
          </a:pPr>
          <a:endParaRPr lang="es-MX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MX"/>
  <c:chart>
    <c:plotArea>
      <c:layout>
        <c:manualLayout>
          <c:layoutTarget val="inner"/>
          <c:xMode val="edge"/>
          <c:yMode val="edge"/>
          <c:x val="9.001698624701121E-2"/>
          <c:y val="6.4519674806060953E-2"/>
          <c:w val="0.86957813196402145"/>
          <c:h val="0.70698299215654081"/>
        </c:manualLayout>
      </c:layout>
      <c:lineChart>
        <c:grouping val="standard"/>
        <c:ser>
          <c:idx val="0"/>
          <c:order val="0"/>
          <c:tx>
            <c:strRef>
              <c:f>rep!$S$17</c:f>
              <c:strCache>
                <c:ptCount val="1"/>
                <c:pt idx="0">
                  <c:v>Observadas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rep!$T$17:$AR$17</c:f>
              <c:numCache>
                <c:formatCode>General</c:formatCode>
                <c:ptCount val="2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6</c:v>
                </c:pt>
                <c:pt idx="11">
                  <c:v>6</c:v>
                </c:pt>
                <c:pt idx="12">
                  <c:v>6</c:v>
                </c:pt>
                <c:pt idx="13">
                  <c:v>6</c:v>
                </c:pt>
                <c:pt idx="14">
                  <c:v>6</c:v>
                </c:pt>
                <c:pt idx="15">
                  <c:v>7</c:v>
                </c:pt>
                <c:pt idx="16">
                  <c:v>7</c:v>
                </c:pt>
                <c:pt idx="17">
                  <c:v>7</c:v>
                </c:pt>
                <c:pt idx="18">
                  <c:v>8</c:v>
                </c:pt>
                <c:pt idx="19">
                  <c:v>8</c:v>
                </c:pt>
                <c:pt idx="20">
                  <c:v>8</c:v>
                </c:pt>
                <c:pt idx="21">
                  <c:v>8</c:v>
                </c:pt>
                <c:pt idx="22">
                  <c:v>8</c:v>
                </c:pt>
                <c:pt idx="23">
                  <c:v>8</c:v>
                </c:pt>
                <c:pt idx="24">
                  <c:v>8</c:v>
                </c:pt>
              </c:numCache>
            </c:numRef>
          </c:val>
        </c:ser>
        <c:ser>
          <c:idx val="1"/>
          <c:order val="1"/>
          <c:tx>
            <c:strRef>
              <c:f>rep!$S$18</c:f>
              <c:strCache>
                <c:ptCount val="1"/>
                <c:pt idx="0">
                  <c:v>Chao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rep!$T$18:$AR$18</c:f>
              <c:numCache>
                <c:formatCode>General</c:formatCode>
                <c:ptCount val="2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2.75</c:v>
                </c:pt>
                <c:pt idx="4">
                  <c:v>4.0199999999999996</c:v>
                </c:pt>
                <c:pt idx="5">
                  <c:v>4.6199999999999966</c:v>
                </c:pt>
                <c:pt idx="6">
                  <c:v>5.01</c:v>
                </c:pt>
                <c:pt idx="7">
                  <c:v>6.02</c:v>
                </c:pt>
                <c:pt idx="8">
                  <c:v>6.7</c:v>
                </c:pt>
                <c:pt idx="9">
                  <c:v>6.5</c:v>
                </c:pt>
                <c:pt idx="10">
                  <c:v>7</c:v>
                </c:pt>
                <c:pt idx="11">
                  <c:v>7.44</c:v>
                </c:pt>
                <c:pt idx="12">
                  <c:v>7.55</c:v>
                </c:pt>
                <c:pt idx="13">
                  <c:v>7.55</c:v>
                </c:pt>
                <c:pt idx="14">
                  <c:v>7.8</c:v>
                </c:pt>
                <c:pt idx="15">
                  <c:v>8.2000000000000011</c:v>
                </c:pt>
                <c:pt idx="16">
                  <c:v>8.2000000000000011</c:v>
                </c:pt>
                <c:pt idx="17">
                  <c:v>8.2000000000000011</c:v>
                </c:pt>
                <c:pt idx="18">
                  <c:v>8.2000000000000011</c:v>
                </c:pt>
                <c:pt idx="19">
                  <c:v>9.2000000000000011</c:v>
                </c:pt>
                <c:pt idx="20">
                  <c:v>9.2000000000000011</c:v>
                </c:pt>
                <c:pt idx="21">
                  <c:v>9.2000000000000011</c:v>
                </c:pt>
                <c:pt idx="22">
                  <c:v>9.2000000000000011</c:v>
                </c:pt>
                <c:pt idx="23">
                  <c:v>9.2000000000000011</c:v>
                </c:pt>
                <c:pt idx="24">
                  <c:v>9.2000000000000011</c:v>
                </c:pt>
              </c:numCache>
            </c:numRef>
          </c:val>
        </c:ser>
        <c:ser>
          <c:idx val="2"/>
          <c:order val="2"/>
          <c:tx>
            <c:strRef>
              <c:f>rep!$S$19</c:f>
              <c:strCache>
                <c:ptCount val="1"/>
                <c:pt idx="0">
                  <c:v>Jackknife 1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rep!$T$19:$AR$19</c:f>
              <c:numCache>
                <c:formatCode>General</c:formatCode>
                <c:ptCount val="2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2.23</c:v>
                </c:pt>
                <c:pt idx="4">
                  <c:v>4.2300000000000004</c:v>
                </c:pt>
                <c:pt idx="5">
                  <c:v>4.96</c:v>
                </c:pt>
                <c:pt idx="6">
                  <c:v>5.52</c:v>
                </c:pt>
                <c:pt idx="7">
                  <c:v>6.3</c:v>
                </c:pt>
                <c:pt idx="8">
                  <c:v>6.78</c:v>
                </c:pt>
                <c:pt idx="9">
                  <c:v>6.9</c:v>
                </c:pt>
                <c:pt idx="10">
                  <c:v>7.6</c:v>
                </c:pt>
                <c:pt idx="11">
                  <c:v>7.6</c:v>
                </c:pt>
                <c:pt idx="12">
                  <c:v>7.33</c:v>
                </c:pt>
                <c:pt idx="13">
                  <c:v>8</c:v>
                </c:pt>
                <c:pt idx="14">
                  <c:v>8.2000000000000011</c:v>
                </c:pt>
                <c:pt idx="15">
                  <c:v>8.8000000000000007</c:v>
                </c:pt>
                <c:pt idx="16">
                  <c:v>8.8000000000000007</c:v>
                </c:pt>
                <c:pt idx="17">
                  <c:v>8.8000000000000007</c:v>
                </c:pt>
                <c:pt idx="18">
                  <c:v>8.8000000000000007</c:v>
                </c:pt>
                <c:pt idx="19">
                  <c:v>9.8000000000000007</c:v>
                </c:pt>
                <c:pt idx="20">
                  <c:v>9.8000000000000007</c:v>
                </c:pt>
                <c:pt idx="21">
                  <c:v>9.8000000000000007</c:v>
                </c:pt>
                <c:pt idx="22">
                  <c:v>9.8000000000000007</c:v>
                </c:pt>
                <c:pt idx="23">
                  <c:v>9.8000000000000007</c:v>
                </c:pt>
                <c:pt idx="24">
                  <c:v>9.8000000000000007</c:v>
                </c:pt>
              </c:numCache>
            </c:numRef>
          </c:val>
        </c:ser>
        <c:ser>
          <c:idx val="3"/>
          <c:order val="3"/>
          <c:tx>
            <c:strRef>
              <c:f>rep!$S$20</c:f>
              <c:strCache>
                <c:ptCount val="1"/>
                <c:pt idx="0">
                  <c:v>Jackknife 2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rep!$T$20:$AR$20</c:f>
              <c:numCache>
                <c:formatCode>General</c:formatCode>
                <c:ptCount val="2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2.25</c:v>
                </c:pt>
                <c:pt idx="4">
                  <c:v>4.5599999999999996</c:v>
                </c:pt>
                <c:pt idx="5">
                  <c:v>4.9800000000000004</c:v>
                </c:pt>
                <c:pt idx="6">
                  <c:v>5.53</c:v>
                </c:pt>
                <c:pt idx="7">
                  <c:v>6.3</c:v>
                </c:pt>
                <c:pt idx="8">
                  <c:v>6.88</c:v>
                </c:pt>
                <c:pt idx="9">
                  <c:v>6.9300000000000024</c:v>
                </c:pt>
                <c:pt idx="10">
                  <c:v>7.34</c:v>
                </c:pt>
                <c:pt idx="11">
                  <c:v>7.8</c:v>
                </c:pt>
                <c:pt idx="12">
                  <c:v>7.95</c:v>
                </c:pt>
                <c:pt idx="13">
                  <c:v>8</c:v>
                </c:pt>
                <c:pt idx="14">
                  <c:v>8.3000000000000007</c:v>
                </c:pt>
                <c:pt idx="15">
                  <c:v>8.9</c:v>
                </c:pt>
                <c:pt idx="16">
                  <c:v>8.9</c:v>
                </c:pt>
                <c:pt idx="17">
                  <c:v>8.9</c:v>
                </c:pt>
                <c:pt idx="18">
                  <c:v>8.9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  <c:pt idx="22">
                  <c:v>10</c:v>
                </c:pt>
                <c:pt idx="23">
                  <c:v>10</c:v>
                </c:pt>
                <c:pt idx="24">
                  <c:v>10</c:v>
                </c:pt>
              </c:numCache>
            </c:numRef>
          </c:val>
        </c:ser>
        <c:marker val="1"/>
        <c:axId val="98237824"/>
        <c:axId val="98253440"/>
      </c:lineChart>
      <c:catAx>
        <c:axId val="9823782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700"/>
                </a:pPr>
                <a:r>
                  <a:rPr lang="en-US" sz="700" b="0"/>
                  <a:t>Meses</a:t>
                </a:r>
              </a:p>
            </c:rich>
          </c:tx>
        </c:title>
        <c:majorTickMark val="none"/>
        <c:tickLblPos val="nextTo"/>
        <c:txPr>
          <a:bodyPr/>
          <a:lstStyle/>
          <a:p>
            <a:pPr>
              <a:defRPr sz="600"/>
            </a:pPr>
            <a:endParaRPr lang="es-MX"/>
          </a:p>
        </c:txPr>
        <c:crossAx val="98253440"/>
        <c:crosses val="autoZero"/>
        <c:auto val="1"/>
        <c:lblAlgn val="ctr"/>
        <c:lblOffset val="100"/>
      </c:catAx>
      <c:valAx>
        <c:axId val="9825344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700"/>
                </a:pPr>
                <a:r>
                  <a:rPr lang="en-US" sz="700" b="0"/>
                  <a:t>Número</a:t>
                </a:r>
                <a:r>
                  <a:rPr lang="en-US" sz="700" b="0" baseline="0"/>
                  <a:t> de especies</a:t>
                </a:r>
                <a:endParaRPr lang="en-US" sz="700" b="0"/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600"/>
            </a:pPr>
            <a:endParaRPr lang="es-MX"/>
          </a:p>
        </c:txPr>
        <c:crossAx val="982378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0000043396537013E-2"/>
          <c:y val="0.90933279600787098"/>
          <c:w val="0.89999979754175263"/>
          <c:h val="8.6639716501380193E-2"/>
        </c:manualLayout>
      </c:layout>
      <c:txPr>
        <a:bodyPr/>
        <a:lstStyle/>
        <a:p>
          <a:pPr>
            <a:defRPr sz="700"/>
          </a:pPr>
          <a:endParaRPr lang="es-MX"/>
        </a:p>
      </c:txPr>
    </c:legend>
    <c:plotVisOnly val="1"/>
  </c:chart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es-MX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MX"/>
  <c:chart>
    <c:plotArea>
      <c:layout>
        <c:manualLayout>
          <c:layoutTarget val="inner"/>
          <c:xMode val="edge"/>
          <c:yMode val="edge"/>
          <c:x val="0.10839405053079762"/>
          <c:y val="7.3572085371004486E-2"/>
          <c:w val="0.85160032519962003"/>
          <c:h val="0.65933069941405664"/>
        </c:manualLayout>
      </c:layout>
      <c:lineChart>
        <c:grouping val="standard"/>
        <c:ser>
          <c:idx val="0"/>
          <c:order val="0"/>
          <c:tx>
            <c:strRef>
              <c:f>aves!$K$97</c:f>
              <c:strCache>
                <c:ptCount val="1"/>
                <c:pt idx="0">
                  <c:v>Obsevadas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aves!$L$97:$AJ$97</c:f>
              <c:numCache>
                <c:formatCode>General</c:formatCode>
                <c:ptCount val="25"/>
                <c:pt idx="0">
                  <c:v>30</c:v>
                </c:pt>
                <c:pt idx="1">
                  <c:v>37</c:v>
                </c:pt>
                <c:pt idx="2">
                  <c:v>41</c:v>
                </c:pt>
                <c:pt idx="3">
                  <c:v>46</c:v>
                </c:pt>
                <c:pt idx="4">
                  <c:v>48</c:v>
                </c:pt>
                <c:pt idx="5">
                  <c:v>51</c:v>
                </c:pt>
                <c:pt idx="6">
                  <c:v>53</c:v>
                </c:pt>
                <c:pt idx="7">
                  <c:v>54</c:v>
                </c:pt>
                <c:pt idx="8">
                  <c:v>55</c:v>
                </c:pt>
                <c:pt idx="9">
                  <c:v>56</c:v>
                </c:pt>
                <c:pt idx="10">
                  <c:v>56</c:v>
                </c:pt>
                <c:pt idx="11">
                  <c:v>56</c:v>
                </c:pt>
                <c:pt idx="12">
                  <c:v>56</c:v>
                </c:pt>
                <c:pt idx="13">
                  <c:v>56</c:v>
                </c:pt>
                <c:pt idx="14">
                  <c:v>56</c:v>
                </c:pt>
                <c:pt idx="15">
                  <c:v>56</c:v>
                </c:pt>
                <c:pt idx="16">
                  <c:v>57</c:v>
                </c:pt>
                <c:pt idx="17">
                  <c:v>58</c:v>
                </c:pt>
                <c:pt idx="18">
                  <c:v>59</c:v>
                </c:pt>
                <c:pt idx="19">
                  <c:v>60</c:v>
                </c:pt>
                <c:pt idx="20">
                  <c:v>60</c:v>
                </c:pt>
                <c:pt idx="21">
                  <c:v>60</c:v>
                </c:pt>
                <c:pt idx="22">
                  <c:v>60</c:v>
                </c:pt>
                <c:pt idx="23">
                  <c:v>60</c:v>
                </c:pt>
                <c:pt idx="24">
                  <c:v>60</c:v>
                </c:pt>
              </c:numCache>
            </c:numRef>
          </c:val>
        </c:ser>
        <c:ser>
          <c:idx val="1"/>
          <c:order val="1"/>
          <c:tx>
            <c:strRef>
              <c:f>aves!$K$98</c:f>
              <c:strCache>
                <c:ptCount val="1"/>
                <c:pt idx="0">
                  <c:v>Chao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aves!$L$98:$AJ$98</c:f>
              <c:numCache>
                <c:formatCode>General</c:formatCode>
                <c:ptCount val="25"/>
                <c:pt idx="0">
                  <c:v>37.85</c:v>
                </c:pt>
                <c:pt idx="1">
                  <c:v>40.120000000000012</c:v>
                </c:pt>
                <c:pt idx="2">
                  <c:v>48.690000000000012</c:v>
                </c:pt>
                <c:pt idx="3">
                  <c:v>50</c:v>
                </c:pt>
                <c:pt idx="4">
                  <c:v>53.2</c:v>
                </c:pt>
                <c:pt idx="5">
                  <c:v>53.89</c:v>
                </c:pt>
                <c:pt idx="6">
                  <c:v>54.32</c:v>
                </c:pt>
                <c:pt idx="7">
                  <c:v>55.86</c:v>
                </c:pt>
                <c:pt idx="8">
                  <c:v>57.6</c:v>
                </c:pt>
                <c:pt idx="9">
                  <c:v>57.7</c:v>
                </c:pt>
                <c:pt idx="10">
                  <c:v>58</c:v>
                </c:pt>
                <c:pt idx="11">
                  <c:v>58.6</c:v>
                </c:pt>
                <c:pt idx="12">
                  <c:v>58.96</c:v>
                </c:pt>
                <c:pt idx="13">
                  <c:v>58.96</c:v>
                </c:pt>
                <c:pt idx="14">
                  <c:v>58.96</c:v>
                </c:pt>
                <c:pt idx="15">
                  <c:v>58.96</c:v>
                </c:pt>
                <c:pt idx="16">
                  <c:v>62.61</c:v>
                </c:pt>
                <c:pt idx="17">
                  <c:v>64.64</c:v>
                </c:pt>
                <c:pt idx="18">
                  <c:v>64.64</c:v>
                </c:pt>
                <c:pt idx="19">
                  <c:v>64.64</c:v>
                </c:pt>
                <c:pt idx="20">
                  <c:v>64.64</c:v>
                </c:pt>
                <c:pt idx="21">
                  <c:v>64.64</c:v>
                </c:pt>
                <c:pt idx="22">
                  <c:v>64.64</c:v>
                </c:pt>
                <c:pt idx="23">
                  <c:v>64.64</c:v>
                </c:pt>
                <c:pt idx="24">
                  <c:v>64.64</c:v>
                </c:pt>
              </c:numCache>
            </c:numRef>
          </c:val>
        </c:ser>
        <c:ser>
          <c:idx val="2"/>
          <c:order val="2"/>
          <c:tx>
            <c:strRef>
              <c:f>aves!$K$99</c:f>
              <c:strCache>
                <c:ptCount val="1"/>
                <c:pt idx="0">
                  <c:v>Jackknife 1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aves!$L$99:$AJ$99</c:f>
              <c:numCache>
                <c:formatCode>General</c:formatCode>
                <c:ptCount val="25"/>
                <c:pt idx="0">
                  <c:v>42.2</c:v>
                </c:pt>
                <c:pt idx="1">
                  <c:v>42.2</c:v>
                </c:pt>
                <c:pt idx="2">
                  <c:v>45</c:v>
                </c:pt>
                <c:pt idx="3">
                  <c:v>50.2</c:v>
                </c:pt>
                <c:pt idx="4">
                  <c:v>52.3</c:v>
                </c:pt>
                <c:pt idx="5">
                  <c:v>54.6</c:v>
                </c:pt>
                <c:pt idx="6">
                  <c:v>56.15</c:v>
                </c:pt>
                <c:pt idx="7">
                  <c:v>58.6</c:v>
                </c:pt>
                <c:pt idx="8">
                  <c:v>58.1</c:v>
                </c:pt>
                <c:pt idx="9">
                  <c:v>58.8</c:v>
                </c:pt>
                <c:pt idx="10">
                  <c:v>56.7</c:v>
                </c:pt>
                <c:pt idx="11">
                  <c:v>60.02</c:v>
                </c:pt>
                <c:pt idx="12">
                  <c:v>60.02</c:v>
                </c:pt>
                <c:pt idx="13">
                  <c:v>60.2</c:v>
                </c:pt>
                <c:pt idx="14">
                  <c:v>60.2</c:v>
                </c:pt>
                <c:pt idx="15">
                  <c:v>62.290000000000013</c:v>
                </c:pt>
                <c:pt idx="16">
                  <c:v>65.16</c:v>
                </c:pt>
                <c:pt idx="17">
                  <c:v>66.599999999999994</c:v>
                </c:pt>
                <c:pt idx="18">
                  <c:v>66.599999999999994</c:v>
                </c:pt>
                <c:pt idx="19">
                  <c:v>66.599999999999994</c:v>
                </c:pt>
                <c:pt idx="20">
                  <c:v>66.599999999999994</c:v>
                </c:pt>
                <c:pt idx="21">
                  <c:v>66.599999999999994</c:v>
                </c:pt>
                <c:pt idx="22">
                  <c:v>66.599999999999994</c:v>
                </c:pt>
                <c:pt idx="23">
                  <c:v>66.599999999999994</c:v>
                </c:pt>
                <c:pt idx="24">
                  <c:v>66.599999999999994</c:v>
                </c:pt>
              </c:numCache>
            </c:numRef>
          </c:val>
        </c:ser>
        <c:ser>
          <c:idx val="3"/>
          <c:order val="3"/>
          <c:tx>
            <c:strRef>
              <c:f>aves!$K$100</c:f>
              <c:strCache>
                <c:ptCount val="1"/>
                <c:pt idx="0">
                  <c:v>Jackknife 2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aves!$L$100:$AJ$100</c:f>
              <c:numCache>
                <c:formatCode>General</c:formatCode>
                <c:ptCount val="25"/>
                <c:pt idx="0">
                  <c:v>41</c:v>
                </c:pt>
                <c:pt idx="1">
                  <c:v>42.5</c:v>
                </c:pt>
                <c:pt idx="2">
                  <c:v>48</c:v>
                </c:pt>
                <c:pt idx="3">
                  <c:v>52.1</c:v>
                </c:pt>
                <c:pt idx="4">
                  <c:v>53.2</c:v>
                </c:pt>
                <c:pt idx="5">
                  <c:v>55.6</c:v>
                </c:pt>
                <c:pt idx="6">
                  <c:v>59.6</c:v>
                </c:pt>
                <c:pt idx="7">
                  <c:v>60.2</c:v>
                </c:pt>
                <c:pt idx="8">
                  <c:v>61.8</c:v>
                </c:pt>
                <c:pt idx="9">
                  <c:v>62.1</c:v>
                </c:pt>
                <c:pt idx="10">
                  <c:v>62.1</c:v>
                </c:pt>
                <c:pt idx="11">
                  <c:v>62.35</c:v>
                </c:pt>
                <c:pt idx="12">
                  <c:v>62.58</c:v>
                </c:pt>
                <c:pt idx="13">
                  <c:v>62.9</c:v>
                </c:pt>
                <c:pt idx="14">
                  <c:v>62.9</c:v>
                </c:pt>
                <c:pt idx="15">
                  <c:v>63</c:v>
                </c:pt>
                <c:pt idx="16">
                  <c:v>65</c:v>
                </c:pt>
                <c:pt idx="17">
                  <c:v>66</c:v>
                </c:pt>
                <c:pt idx="18">
                  <c:v>66</c:v>
                </c:pt>
                <c:pt idx="19">
                  <c:v>66</c:v>
                </c:pt>
                <c:pt idx="20">
                  <c:v>66</c:v>
                </c:pt>
                <c:pt idx="21">
                  <c:v>66</c:v>
                </c:pt>
                <c:pt idx="22">
                  <c:v>66</c:v>
                </c:pt>
                <c:pt idx="23">
                  <c:v>66</c:v>
                </c:pt>
                <c:pt idx="24">
                  <c:v>66</c:v>
                </c:pt>
              </c:numCache>
            </c:numRef>
          </c:val>
        </c:ser>
        <c:marker val="1"/>
        <c:axId val="98537856"/>
        <c:axId val="98557952"/>
      </c:lineChart>
      <c:catAx>
        <c:axId val="9853785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700"/>
                </a:pPr>
                <a:r>
                  <a:rPr lang="es-MX" sz="700" b="0"/>
                  <a:t>Meses</a:t>
                </a:r>
              </a:p>
            </c:rich>
          </c:tx>
          <c:layout>
            <c:manualLayout>
              <c:xMode val="edge"/>
              <c:yMode val="edge"/>
              <c:x val="0.48974243766267844"/>
              <c:y val="0.81960619711841864"/>
            </c:manualLayout>
          </c:layout>
        </c:title>
        <c:majorTickMark val="none"/>
        <c:tickLblPos val="nextTo"/>
        <c:txPr>
          <a:bodyPr/>
          <a:lstStyle/>
          <a:p>
            <a:pPr>
              <a:defRPr sz="600"/>
            </a:pPr>
            <a:endParaRPr lang="es-MX"/>
          </a:p>
        </c:txPr>
        <c:crossAx val="98557952"/>
        <c:crosses val="autoZero"/>
        <c:auto val="1"/>
        <c:lblAlgn val="ctr"/>
        <c:lblOffset val="100"/>
      </c:catAx>
      <c:valAx>
        <c:axId val="9855795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s-MX" sz="700" b="0"/>
                  <a:t>Número</a:t>
                </a:r>
                <a:r>
                  <a:rPr lang="es-MX" b="0" baseline="0"/>
                  <a:t> de especies</a:t>
                </a:r>
                <a:endParaRPr lang="es-MX" b="0"/>
              </a:p>
            </c:rich>
          </c:tx>
          <c:layout>
            <c:manualLayout>
              <c:xMode val="edge"/>
              <c:yMode val="edge"/>
              <c:x val="1.0910624800795191E-2"/>
              <c:y val="0.14098612926568002"/>
            </c:manualLayout>
          </c:layout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600"/>
            </a:pPr>
            <a:endParaRPr lang="es-MX"/>
          </a:p>
        </c:txPr>
        <c:crossAx val="985378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3636746067951095E-2"/>
          <c:y val="0.90120432816625007"/>
          <c:w val="0.89999997136320065"/>
          <c:h val="9.8795671833740828E-2"/>
        </c:manualLayout>
      </c:layout>
      <c:txPr>
        <a:bodyPr/>
        <a:lstStyle/>
        <a:p>
          <a:pPr>
            <a:defRPr sz="700"/>
          </a:pPr>
          <a:endParaRPr lang="es-MX"/>
        </a:p>
      </c:txPr>
    </c:legend>
    <c:plotVisOnly val="1"/>
  </c:chart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es-MX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MX"/>
  <c:chart>
    <c:plotArea>
      <c:layout>
        <c:manualLayout>
          <c:layoutTarget val="inner"/>
          <c:xMode val="edge"/>
          <c:yMode val="edge"/>
          <c:x val="0.1303575283405527"/>
          <c:y val="8.0258251174430528E-2"/>
          <c:w val="0.82959315107882314"/>
          <c:h val="0.64245394338198569"/>
        </c:manualLayout>
      </c:layout>
      <c:lineChart>
        <c:grouping val="standard"/>
        <c:ser>
          <c:idx val="0"/>
          <c:order val="0"/>
          <c:tx>
            <c:strRef>
              <c:f>mam!$I$48</c:f>
              <c:strCache>
                <c:ptCount val="1"/>
                <c:pt idx="0">
                  <c:v>Observadas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mam!$J$48:$AH$48</c:f>
              <c:numCache>
                <c:formatCode>General</c:formatCode>
                <c:ptCount val="25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10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11</c:v>
                </c:pt>
                <c:pt idx="17">
                  <c:v>11</c:v>
                </c:pt>
                <c:pt idx="18">
                  <c:v>11</c:v>
                </c:pt>
                <c:pt idx="19">
                  <c:v>12</c:v>
                </c:pt>
                <c:pt idx="20">
                  <c:v>12</c:v>
                </c:pt>
                <c:pt idx="21">
                  <c:v>12</c:v>
                </c:pt>
                <c:pt idx="22">
                  <c:v>12</c:v>
                </c:pt>
                <c:pt idx="23">
                  <c:v>12</c:v>
                </c:pt>
                <c:pt idx="24">
                  <c:v>12</c:v>
                </c:pt>
              </c:numCache>
            </c:numRef>
          </c:val>
        </c:ser>
        <c:ser>
          <c:idx val="1"/>
          <c:order val="1"/>
          <c:tx>
            <c:strRef>
              <c:f>mam!$I$49</c:f>
              <c:strCache>
                <c:ptCount val="1"/>
                <c:pt idx="0">
                  <c:v>Chao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mam!$J$49:$AH$49</c:f>
              <c:numCache>
                <c:formatCode>General</c:formatCode>
                <c:ptCount val="25"/>
                <c:pt idx="0">
                  <c:v>2.8</c:v>
                </c:pt>
                <c:pt idx="1">
                  <c:v>4.5999999999999996</c:v>
                </c:pt>
                <c:pt idx="2">
                  <c:v>4.63</c:v>
                </c:pt>
                <c:pt idx="3">
                  <c:v>5.96</c:v>
                </c:pt>
                <c:pt idx="4">
                  <c:v>7.6099999999999985</c:v>
                </c:pt>
                <c:pt idx="5">
                  <c:v>8.59</c:v>
                </c:pt>
                <c:pt idx="6">
                  <c:v>9</c:v>
                </c:pt>
                <c:pt idx="7">
                  <c:v>9.7100000000000009</c:v>
                </c:pt>
                <c:pt idx="8">
                  <c:v>10.5</c:v>
                </c:pt>
                <c:pt idx="9">
                  <c:v>11.48</c:v>
                </c:pt>
                <c:pt idx="10">
                  <c:v>11.84</c:v>
                </c:pt>
                <c:pt idx="11">
                  <c:v>12.690000000000001</c:v>
                </c:pt>
                <c:pt idx="12">
                  <c:v>13.75</c:v>
                </c:pt>
                <c:pt idx="13">
                  <c:v>14.1</c:v>
                </c:pt>
                <c:pt idx="14">
                  <c:v>14.350000000000026</c:v>
                </c:pt>
                <c:pt idx="15">
                  <c:v>14.450000000000006</c:v>
                </c:pt>
                <c:pt idx="16">
                  <c:v>14.850000000000026</c:v>
                </c:pt>
                <c:pt idx="17">
                  <c:v>14.850000000000026</c:v>
                </c:pt>
                <c:pt idx="18">
                  <c:v>15</c:v>
                </c:pt>
                <c:pt idx="19">
                  <c:v>15</c:v>
                </c:pt>
                <c:pt idx="20">
                  <c:v>15</c:v>
                </c:pt>
                <c:pt idx="21">
                  <c:v>15</c:v>
                </c:pt>
                <c:pt idx="22">
                  <c:v>15</c:v>
                </c:pt>
                <c:pt idx="23">
                  <c:v>14.5</c:v>
                </c:pt>
                <c:pt idx="24">
                  <c:v>14.5</c:v>
                </c:pt>
              </c:numCache>
            </c:numRef>
          </c:val>
        </c:ser>
        <c:ser>
          <c:idx val="2"/>
          <c:order val="2"/>
          <c:tx>
            <c:strRef>
              <c:f>mam!$I$50</c:f>
              <c:strCache>
                <c:ptCount val="1"/>
                <c:pt idx="0">
                  <c:v>Jackknife 1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mam!$J$50:$AH$50</c:f>
              <c:numCache>
                <c:formatCode>General</c:formatCode>
                <c:ptCount val="25"/>
                <c:pt idx="0">
                  <c:v>2.06</c:v>
                </c:pt>
                <c:pt idx="1">
                  <c:v>4.9700000000000024</c:v>
                </c:pt>
                <c:pt idx="2">
                  <c:v>5.0199999999999996</c:v>
                </c:pt>
                <c:pt idx="3">
                  <c:v>5.96</c:v>
                </c:pt>
                <c:pt idx="4">
                  <c:v>7.98</c:v>
                </c:pt>
                <c:pt idx="5">
                  <c:v>9</c:v>
                </c:pt>
                <c:pt idx="6">
                  <c:v>9.0500000000000007</c:v>
                </c:pt>
                <c:pt idx="7">
                  <c:v>9.98</c:v>
                </c:pt>
                <c:pt idx="8">
                  <c:v>11.01</c:v>
                </c:pt>
                <c:pt idx="9">
                  <c:v>12</c:v>
                </c:pt>
                <c:pt idx="10">
                  <c:v>12.11</c:v>
                </c:pt>
                <c:pt idx="11">
                  <c:v>12.93</c:v>
                </c:pt>
                <c:pt idx="12">
                  <c:v>13.99</c:v>
                </c:pt>
                <c:pt idx="13">
                  <c:v>14.970000000000002</c:v>
                </c:pt>
                <c:pt idx="14">
                  <c:v>15</c:v>
                </c:pt>
                <c:pt idx="15">
                  <c:v>15.2</c:v>
                </c:pt>
                <c:pt idx="16">
                  <c:v>15.360000000000024</c:v>
                </c:pt>
                <c:pt idx="17">
                  <c:v>15.360000000000024</c:v>
                </c:pt>
                <c:pt idx="18">
                  <c:v>15.66</c:v>
                </c:pt>
                <c:pt idx="19">
                  <c:v>15.9</c:v>
                </c:pt>
                <c:pt idx="20">
                  <c:v>15.9</c:v>
                </c:pt>
                <c:pt idx="21">
                  <c:v>15.9</c:v>
                </c:pt>
                <c:pt idx="22">
                  <c:v>15.9</c:v>
                </c:pt>
                <c:pt idx="23">
                  <c:v>15.9</c:v>
                </c:pt>
                <c:pt idx="24">
                  <c:v>15.9</c:v>
                </c:pt>
              </c:numCache>
            </c:numRef>
          </c:val>
        </c:ser>
        <c:ser>
          <c:idx val="3"/>
          <c:order val="3"/>
          <c:tx>
            <c:strRef>
              <c:f>mam!$I$51</c:f>
              <c:strCache>
                <c:ptCount val="1"/>
                <c:pt idx="0">
                  <c:v>Jackknife 2</c:v>
                </c:pt>
              </c:strCache>
            </c:strRef>
          </c:tx>
          <c:spPr>
            <a:ln w="3175"/>
          </c:spPr>
          <c:marker>
            <c:spPr>
              <a:ln w="3175"/>
            </c:spPr>
          </c:marker>
          <c:val>
            <c:numRef>
              <c:f>mam!$J$51:$AH$51</c:f>
              <c:numCache>
                <c:formatCode>General</c:formatCode>
                <c:ptCount val="25"/>
                <c:pt idx="0">
                  <c:v>2.06</c:v>
                </c:pt>
                <c:pt idx="1">
                  <c:v>5.22</c:v>
                </c:pt>
                <c:pt idx="2">
                  <c:v>5.4700000000000024</c:v>
                </c:pt>
                <c:pt idx="3">
                  <c:v>6.1599999999999975</c:v>
                </c:pt>
                <c:pt idx="4">
                  <c:v>8.2800000000000011</c:v>
                </c:pt>
                <c:pt idx="5">
                  <c:v>9.3600000000000048</c:v>
                </c:pt>
                <c:pt idx="6">
                  <c:v>9.0500000000000007</c:v>
                </c:pt>
                <c:pt idx="7">
                  <c:v>9.41</c:v>
                </c:pt>
                <c:pt idx="8">
                  <c:v>11.41</c:v>
                </c:pt>
                <c:pt idx="9">
                  <c:v>12.6</c:v>
                </c:pt>
                <c:pt idx="10">
                  <c:v>12.71</c:v>
                </c:pt>
                <c:pt idx="11">
                  <c:v>13.629999999999999</c:v>
                </c:pt>
                <c:pt idx="12">
                  <c:v>13.69</c:v>
                </c:pt>
                <c:pt idx="13">
                  <c:v>15.670000000000002</c:v>
                </c:pt>
                <c:pt idx="14">
                  <c:v>15.67</c:v>
                </c:pt>
                <c:pt idx="15">
                  <c:v>15.67</c:v>
                </c:pt>
                <c:pt idx="16">
                  <c:v>15.860000000000024</c:v>
                </c:pt>
                <c:pt idx="17">
                  <c:v>15.860000000000024</c:v>
                </c:pt>
                <c:pt idx="18">
                  <c:v>15.66</c:v>
                </c:pt>
                <c:pt idx="19">
                  <c:v>15.66</c:v>
                </c:pt>
                <c:pt idx="20">
                  <c:v>15.66</c:v>
                </c:pt>
                <c:pt idx="21">
                  <c:v>15.66</c:v>
                </c:pt>
                <c:pt idx="22">
                  <c:v>15.66</c:v>
                </c:pt>
                <c:pt idx="23">
                  <c:v>15.66</c:v>
                </c:pt>
                <c:pt idx="24">
                  <c:v>15.66</c:v>
                </c:pt>
              </c:numCache>
            </c:numRef>
          </c:val>
        </c:ser>
        <c:marker val="1"/>
        <c:axId val="125398016"/>
        <c:axId val="125405440"/>
      </c:lineChart>
      <c:catAx>
        <c:axId val="1253980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s-MX" sz="800" b="0">
                    <a:latin typeface="Times New Roman" pitchFamily="18" charset="0"/>
                    <a:cs typeface="Times New Roman" pitchFamily="18" charset="0"/>
                  </a:rPr>
                  <a:t>Meses</a:t>
                </a:r>
              </a:p>
            </c:rich>
          </c:tx>
          <c:layout>
            <c:manualLayout>
              <c:xMode val="edge"/>
              <c:yMode val="edge"/>
              <c:x val="0.45958047828522414"/>
              <c:y val="0.8078695020726937"/>
            </c:manualLayout>
          </c:layout>
        </c:title>
        <c:majorTickMark val="none"/>
        <c:tickLblPos val="nextTo"/>
        <c:txPr>
          <a:bodyPr/>
          <a:lstStyle/>
          <a:p>
            <a:pPr>
              <a:defRPr sz="600">
                <a:latin typeface="Times New Roman" pitchFamily="18" charset="0"/>
                <a:cs typeface="Times New Roman" pitchFamily="18" charset="0"/>
              </a:defRPr>
            </a:pPr>
            <a:endParaRPr lang="es-MX"/>
          </a:p>
        </c:txPr>
        <c:crossAx val="125405440"/>
        <c:crosses val="autoZero"/>
        <c:auto val="1"/>
        <c:lblAlgn val="ctr"/>
        <c:lblOffset val="100"/>
      </c:catAx>
      <c:valAx>
        <c:axId val="12540544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700"/>
                </a:pPr>
                <a:r>
                  <a:rPr lang="es-MX" sz="700" b="0">
                    <a:latin typeface="Times New Roman" pitchFamily="18" charset="0"/>
                    <a:cs typeface="Times New Roman" pitchFamily="18" charset="0"/>
                  </a:rPr>
                  <a:t>Número</a:t>
                </a:r>
                <a:r>
                  <a:rPr lang="es-MX" sz="700" b="0" baseline="0">
                    <a:latin typeface="Times New Roman" pitchFamily="18" charset="0"/>
                    <a:cs typeface="Times New Roman" pitchFamily="18" charset="0"/>
                  </a:rPr>
                  <a:t> de especies</a:t>
                </a:r>
                <a:endParaRPr lang="es-MX" sz="7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8204236627554791E-2"/>
              <c:y val="0.10944306978331422"/>
            </c:manualLayout>
          </c:layout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600">
                <a:latin typeface="Times New Roman" pitchFamily="18" charset="0"/>
                <a:cs typeface="Times New Roman" pitchFamily="18" charset="0"/>
              </a:defRPr>
            </a:pPr>
            <a:endParaRPr lang="es-MX"/>
          </a:p>
        </c:txPr>
        <c:crossAx val="1253980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0000014334044933E-2"/>
          <c:y val="0.89222586521784342"/>
          <c:w val="0.89999997133191079"/>
          <c:h val="0.10777413478215828"/>
        </c:manualLayout>
      </c:layout>
      <c:txPr>
        <a:bodyPr/>
        <a:lstStyle/>
        <a:p>
          <a:pPr>
            <a:defRPr sz="700">
              <a:latin typeface="Times New Roman" pitchFamily="18" charset="0"/>
              <a:cs typeface="Times New Roman" pitchFamily="18" charset="0"/>
            </a:defRPr>
          </a:pPr>
          <a:endParaRPr lang="es-MX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936</Words>
  <Characters>5154</Characters>
  <Application>Microsoft Office Word</Application>
  <DocSecurity>0</DocSecurity>
  <Lines>42</Lines>
  <Paragraphs>12</Paragraphs>
  <ScaleCrop>false</ScaleCrop>
  <Company>Hewlett-Packard</Company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Jessik Mariana</dc:creator>
  <cp:lastModifiedBy>Jessik Mariana</cp:lastModifiedBy>
  <cp:revision>2</cp:revision>
  <dcterms:created xsi:type="dcterms:W3CDTF">2012-01-13T20:15:00Z</dcterms:created>
  <dcterms:modified xsi:type="dcterms:W3CDTF">2012-01-14T00:11:00Z</dcterms:modified>
</cp:coreProperties>
</file>