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267F3">
        <w:rPr>
          <w:rFonts w:ascii="Times New Roman" w:hAnsi="Times New Roman" w:cs="Times New Roman"/>
          <w:sz w:val="24"/>
          <w:szCs w:val="24"/>
        </w:rPr>
        <w:t>Figura 1.</w:t>
      </w: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267F3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inline distT="0" distB="0" distL="0" distR="0" wp14:anchorId="6EE32E9E" wp14:editId="1C8044BC">
            <wp:extent cx="3658235" cy="2860705"/>
            <wp:effectExtent l="0" t="0" r="0" b="9525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8235" cy="286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96D5D" w:rsidRPr="00B267F3" w:rsidRDefault="00396D5D" w:rsidP="00396D5D">
      <w:pPr>
        <w:tabs>
          <w:tab w:val="left" w:pos="6840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267F3">
        <w:rPr>
          <w:rFonts w:ascii="Times New Roman" w:hAnsi="Times New Roman" w:cs="Times New Roman"/>
          <w:noProof/>
          <w:sz w:val="24"/>
          <w:szCs w:val="24"/>
          <w:lang w:val="es-ES" w:eastAsia="es-ES"/>
        </w:rPr>
        <w:lastRenderedPageBreak/>
        <w:drawing>
          <wp:anchor distT="0" distB="0" distL="114300" distR="114300" simplePos="0" relativeHeight="251659264" behindDoc="0" locked="0" layoutInCell="1" allowOverlap="1" wp14:anchorId="7FD99D82" wp14:editId="5A7C93CA">
            <wp:simplePos x="0" y="0"/>
            <wp:positionH relativeFrom="column">
              <wp:posOffset>-214630</wp:posOffset>
            </wp:positionH>
            <wp:positionV relativeFrom="paragraph">
              <wp:posOffset>498475</wp:posOffset>
            </wp:positionV>
            <wp:extent cx="6641465" cy="4159885"/>
            <wp:effectExtent l="0" t="0" r="6985" b="0"/>
            <wp:wrapSquare wrapText="bothSides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7F3">
        <w:rPr>
          <w:rFonts w:ascii="Times New Roman" w:hAnsi="Times New Roman" w:cs="Times New Roman"/>
          <w:sz w:val="24"/>
          <w:szCs w:val="24"/>
        </w:rPr>
        <w:t>Figura 2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396D5D" w:rsidRPr="00B267F3" w:rsidRDefault="00396D5D" w:rsidP="00396D5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C6AE5" w:rsidRDefault="00396D5D"/>
    <w:sectPr w:rsidR="00DC6AE5" w:rsidSect="00E85E2A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5D"/>
    <w:rsid w:val="00396D5D"/>
    <w:rsid w:val="00B9271F"/>
    <w:rsid w:val="00E85E2A"/>
    <w:rsid w:val="00F44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256FB8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D5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C14999"/>
    <w:pPr>
      <w:spacing w:after="0" w:line="240" w:lineRule="auto"/>
    </w:pPr>
    <w:rPr>
      <w:rFonts w:ascii="Lucida Grande" w:eastAsiaTheme="minorEastAsia" w:hAnsi="Lucida Grande" w:cs="Times New Roman"/>
      <w:sz w:val="18"/>
      <w:szCs w:val="18"/>
      <w:lang w:val="es-ES_tradnl" w:eastAsia="es-ES_trad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D5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C14999"/>
    <w:pPr>
      <w:spacing w:after="0" w:line="240" w:lineRule="auto"/>
    </w:pPr>
    <w:rPr>
      <w:rFonts w:ascii="Lucida Grande" w:eastAsiaTheme="minorEastAsia" w:hAnsi="Lucida Grande" w:cs="Times New Roman"/>
      <w:sz w:val="18"/>
      <w:szCs w:val="18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7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6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0753148053714859"/>
          <c:y val="0.123891867462587"/>
          <c:w val="0.827455045665842"/>
          <c:h val="0.779704854773948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Número de especies descritas de Braconidae de México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Hoja1!$A$2:$A$24</c:f>
              <c:numCache>
                <c:formatCode>General</c:formatCode>
                <c:ptCount val="23"/>
                <c:pt idx="0">
                  <c:v>1758.0</c:v>
                </c:pt>
                <c:pt idx="1">
                  <c:v>1802.0</c:v>
                </c:pt>
                <c:pt idx="2">
                  <c:v>1811.0</c:v>
                </c:pt>
                <c:pt idx="3">
                  <c:v>1829.0</c:v>
                </c:pt>
                <c:pt idx="4">
                  <c:v>1838.0</c:v>
                </c:pt>
                <c:pt idx="5">
                  <c:v>1846.0</c:v>
                </c:pt>
                <c:pt idx="6">
                  <c:v>1860.0</c:v>
                </c:pt>
                <c:pt idx="7">
                  <c:v>1869.0</c:v>
                </c:pt>
                <c:pt idx="8">
                  <c:v>1880.0</c:v>
                </c:pt>
                <c:pt idx="9">
                  <c:v>1889.0</c:v>
                </c:pt>
                <c:pt idx="10">
                  <c:v>1900.0</c:v>
                </c:pt>
                <c:pt idx="11">
                  <c:v>1910.0</c:v>
                </c:pt>
                <c:pt idx="12">
                  <c:v>1920.0</c:v>
                </c:pt>
                <c:pt idx="13">
                  <c:v>1930.0</c:v>
                </c:pt>
                <c:pt idx="14">
                  <c:v>1938.0</c:v>
                </c:pt>
                <c:pt idx="15">
                  <c:v>1949.0</c:v>
                </c:pt>
                <c:pt idx="16">
                  <c:v>1960.0</c:v>
                </c:pt>
                <c:pt idx="17">
                  <c:v>1970.0</c:v>
                </c:pt>
                <c:pt idx="18">
                  <c:v>1980.0</c:v>
                </c:pt>
                <c:pt idx="19">
                  <c:v>1990.0</c:v>
                </c:pt>
                <c:pt idx="20">
                  <c:v>2000.0</c:v>
                </c:pt>
                <c:pt idx="21">
                  <c:v>2010.0</c:v>
                </c:pt>
                <c:pt idx="22">
                  <c:v>2012.0</c:v>
                </c:pt>
              </c:numCache>
            </c:numRef>
          </c:cat>
          <c:val>
            <c:numRef>
              <c:f>Hoja1!$B$2:$B$24</c:f>
              <c:numCache>
                <c:formatCode>General</c:formatCode>
                <c:ptCount val="23"/>
                <c:pt idx="0">
                  <c:v>2.0</c:v>
                </c:pt>
                <c:pt idx="1">
                  <c:v>1.0</c:v>
                </c:pt>
                <c:pt idx="2">
                  <c:v>4.0</c:v>
                </c:pt>
                <c:pt idx="3">
                  <c:v>6.0</c:v>
                </c:pt>
                <c:pt idx="4">
                  <c:v>13.0</c:v>
                </c:pt>
                <c:pt idx="5">
                  <c:v>6.0</c:v>
                </c:pt>
                <c:pt idx="6">
                  <c:v>7.0</c:v>
                </c:pt>
                <c:pt idx="7">
                  <c:v>18.0</c:v>
                </c:pt>
                <c:pt idx="8">
                  <c:v>26.0</c:v>
                </c:pt>
                <c:pt idx="9">
                  <c:v>76.0</c:v>
                </c:pt>
                <c:pt idx="10">
                  <c:v>20.0</c:v>
                </c:pt>
                <c:pt idx="11">
                  <c:v>26.0</c:v>
                </c:pt>
                <c:pt idx="12">
                  <c:v>44.0</c:v>
                </c:pt>
                <c:pt idx="13">
                  <c:v>20.0</c:v>
                </c:pt>
                <c:pt idx="14">
                  <c:v>9.0</c:v>
                </c:pt>
                <c:pt idx="15">
                  <c:v>10.0</c:v>
                </c:pt>
                <c:pt idx="16">
                  <c:v>29.0</c:v>
                </c:pt>
                <c:pt idx="17">
                  <c:v>53.0</c:v>
                </c:pt>
                <c:pt idx="18">
                  <c:v>40.0</c:v>
                </c:pt>
                <c:pt idx="19">
                  <c:v>80.0</c:v>
                </c:pt>
                <c:pt idx="20">
                  <c:v>47.0</c:v>
                </c:pt>
                <c:pt idx="21">
                  <c:v>64.0</c:v>
                </c:pt>
                <c:pt idx="22">
                  <c:v>9.0</c:v>
                </c:pt>
              </c:numCache>
            </c:numRef>
          </c:val>
        </c:ser>
        <c:ser>
          <c:idx val="1"/>
          <c:order val="1"/>
          <c:tx>
            <c:strRef>
              <c:f>Hoja1!$C$1</c:f>
              <c:strCache>
                <c:ptCount val="1"/>
                <c:pt idx="0">
                  <c:v>Total acumulativo</c:v>
                </c:pt>
              </c:strCache>
            </c:strRef>
          </c:tx>
          <c:invertIfNegative val="0"/>
          <c:cat>
            <c:numRef>
              <c:f>Hoja1!$A$2:$A$24</c:f>
              <c:numCache>
                <c:formatCode>General</c:formatCode>
                <c:ptCount val="23"/>
                <c:pt idx="0">
                  <c:v>1758.0</c:v>
                </c:pt>
                <c:pt idx="1">
                  <c:v>1802.0</c:v>
                </c:pt>
                <c:pt idx="2">
                  <c:v>1811.0</c:v>
                </c:pt>
                <c:pt idx="3">
                  <c:v>1829.0</c:v>
                </c:pt>
                <c:pt idx="4">
                  <c:v>1838.0</c:v>
                </c:pt>
                <c:pt idx="5">
                  <c:v>1846.0</c:v>
                </c:pt>
                <c:pt idx="6">
                  <c:v>1860.0</c:v>
                </c:pt>
                <c:pt idx="7">
                  <c:v>1869.0</c:v>
                </c:pt>
                <c:pt idx="8">
                  <c:v>1880.0</c:v>
                </c:pt>
                <c:pt idx="9">
                  <c:v>1889.0</c:v>
                </c:pt>
                <c:pt idx="10">
                  <c:v>1900.0</c:v>
                </c:pt>
                <c:pt idx="11">
                  <c:v>1910.0</c:v>
                </c:pt>
                <c:pt idx="12">
                  <c:v>1920.0</c:v>
                </c:pt>
                <c:pt idx="13">
                  <c:v>1930.0</c:v>
                </c:pt>
                <c:pt idx="14">
                  <c:v>1938.0</c:v>
                </c:pt>
                <c:pt idx="15">
                  <c:v>1949.0</c:v>
                </c:pt>
                <c:pt idx="16">
                  <c:v>1960.0</c:v>
                </c:pt>
                <c:pt idx="17">
                  <c:v>1970.0</c:v>
                </c:pt>
                <c:pt idx="18">
                  <c:v>1980.0</c:v>
                </c:pt>
                <c:pt idx="19">
                  <c:v>1990.0</c:v>
                </c:pt>
                <c:pt idx="20">
                  <c:v>2000.0</c:v>
                </c:pt>
                <c:pt idx="21">
                  <c:v>2010.0</c:v>
                </c:pt>
                <c:pt idx="22">
                  <c:v>2012.0</c:v>
                </c:pt>
              </c:numCache>
            </c:numRef>
          </c:cat>
          <c:val>
            <c:numRef>
              <c:f>Hoja1!$C$2:$C$24</c:f>
              <c:numCache>
                <c:formatCode>General</c:formatCode>
                <c:ptCount val="23"/>
                <c:pt idx="0">
                  <c:v>2.0</c:v>
                </c:pt>
                <c:pt idx="1">
                  <c:v>3.0</c:v>
                </c:pt>
                <c:pt idx="2">
                  <c:v>9.0</c:v>
                </c:pt>
                <c:pt idx="3">
                  <c:v>13.0</c:v>
                </c:pt>
                <c:pt idx="4">
                  <c:v>26.0</c:v>
                </c:pt>
                <c:pt idx="5">
                  <c:v>32.0</c:v>
                </c:pt>
                <c:pt idx="6">
                  <c:v>39.0</c:v>
                </c:pt>
                <c:pt idx="7">
                  <c:v>57.0</c:v>
                </c:pt>
                <c:pt idx="8">
                  <c:v>83.0</c:v>
                </c:pt>
                <c:pt idx="9">
                  <c:v>159.0</c:v>
                </c:pt>
                <c:pt idx="10">
                  <c:v>179.0</c:v>
                </c:pt>
                <c:pt idx="11">
                  <c:v>205.0</c:v>
                </c:pt>
                <c:pt idx="12">
                  <c:v>249.0</c:v>
                </c:pt>
                <c:pt idx="13">
                  <c:v>269.0</c:v>
                </c:pt>
                <c:pt idx="14">
                  <c:v>278.0</c:v>
                </c:pt>
                <c:pt idx="15">
                  <c:v>288.0</c:v>
                </c:pt>
                <c:pt idx="16">
                  <c:v>317.0</c:v>
                </c:pt>
                <c:pt idx="17">
                  <c:v>370.0</c:v>
                </c:pt>
                <c:pt idx="18">
                  <c:v>410.0</c:v>
                </c:pt>
                <c:pt idx="19">
                  <c:v>490.0</c:v>
                </c:pt>
                <c:pt idx="20">
                  <c:v>537.0</c:v>
                </c:pt>
                <c:pt idx="21">
                  <c:v>601.0</c:v>
                </c:pt>
                <c:pt idx="22">
                  <c:v>610.0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661274520"/>
        <c:axId val="661195448"/>
        <c:axId val="661172296"/>
      </c:bar3DChart>
      <c:catAx>
        <c:axId val="6612745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661195448"/>
        <c:crosses val="autoZero"/>
        <c:auto val="1"/>
        <c:lblAlgn val="ctr"/>
        <c:lblOffset val="100"/>
        <c:noMultiLvlLbl val="0"/>
      </c:catAx>
      <c:valAx>
        <c:axId val="6611954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61274520"/>
        <c:crosses val="autoZero"/>
        <c:crossBetween val="between"/>
      </c:valAx>
      <c:serAx>
        <c:axId val="661172296"/>
        <c:scaling>
          <c:orientation val="minMax"/>
        </c:scaling>
        <c:delete val="1"/>
        <c:axPos val="b"/>
        <c:majorTickMark val="out"/>
        <c:minorTickMark val="none"/>
        <c:tickLblPos val="nextTo"/>
        <c:crossAx val="661195448"/>
        <c:crosses val="autoZero"/>
      </c:serAx>
    </c:plotArea>
    <c:legend>
      <c:legendPos val="r"/>
      <c:layout>
        <c:manualLayout>
          <c:xMode val="edge"/>
          <c:yMode val="edge"/>
          <c:x val="0.0793613512635801"/>
          <c:y val="0.82865615786466"/>
          <c:w val="0.813671682377307"/>
          <c:h val="0.145777398648243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</Words>
  <Characters>34</Characters>
  <Application>Microsoft Macintosh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mncn mncn</dc:creator>
  <cp:keywords/>
  <dc:description/>
  <cp:lastModifiedBy>mncn mncn</cp:lastModifiedBy>
  <cp:revision>1</cp:revision>
  <dcterms:created xsi:type="dcterms:W3CDTF">2012-05-31T18:50:00Z</dcterms:created>
  <dcterms:modified xsi:type="dcterms:W3CDTF">2012-05-31T18:52:00Z</dcterms:modified>
</cp:coreProperties>
</file>