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2FB1B6" w14:textId="77777777" w:rsidR="00EA2C5A" w:rsidRDefault="00EA2C5A" w:rsidP="00EA2C5A">
      <w:pPr>
        <w:spacing w:line="480" w:lineRule="auto"/>
        <w:jc w:val="both"/>
        <w:rPr>
          <w:rFonts w:ascii="Times New Roman" w:hAnsi="Times New Roman"/>
          <w:szCs w:val="24"/>
        </w:rPr>
      </w:pPr>
      <w:bookmarkStart w:id="0" w:name="_GoBack"/>
      <w:bookmarkEnd w:id="0"/>
    </w:p>
    <w:p w14:paraId="72C0643A" w14:textId="77777777" w:rsidR="00EA2C5A" w:rsidRDefault="00EA2C5A" w:rsidP="00EA2C5A">
      <w:pPr>
        <w:spacing w:line="480" w:lineRule="auto"/>
        <w:jc w:val="both"/>
        <w:rPr>
          <w:rFonts w:ascii="Times New Roman" w:hAnsi="Times New Roman"/>
          <w:szCs w:val="24"/>
        </w:rPr>
      </w:pPr>
    </w:p>
    <w:p w14:paraId="6A4C12B9" w14:textId="77777777" w:rsidR="00EA2C5A" w:rsidRDefault="00EA2C5A" w:rsidP="00EA2C5A">
      <w:pPr>
        <w:spacing w:line="480" w:lineRule="auto"/>
        <w:jc w:val="both"/>
        <w:rPr>
          <w:rFonts w:ascii="Times New Roman" w:hAnsi="Times New Roman"/>
          <w:szCs w:val="24"/>
        </w:rPr>
      </w:pPr>
    </w:p>
    <w:p w14:paraId="115F04F3" w14:textId="77777777" w:rsidR="00EA2C5A" w:rsidRDefault="00EA2C5A" w:rsidP="00EA2C5A">
      <w:pPr>
        <w:spacing w:line="480" w:lineRule="auto"/>
        <w:jc w:val="both"/>
        <w:rPr>
          <w:rFonts w:ascii="Times New Roman" w:hAnsi="Times New Roman"/>
          <w:szCs w:val="24"/>
        </w:rPr>
      </w:pPr>
    </w:p>
    <w:p w14:paraId="0C6A4474" w14:textId="77777777" w:rsidR="00EA2C5A" w:rsidRDefault="00EA2C5A" w:rsidP="00EA2C5A">
      <w:pPr>
        <w:spacing w:line="480" w:lineRule="auto"/>
        <w:jc w:val="both"/>
        <w:rPr>
          <w:rFonts w:ascii="Times New Roman" w:hAnsi="Times New Roman"/>
          <w:szCs w:val="24"/>
        </w:rPr>
      </w:pPr>
    </w:p>
    <w:p w14:paraId="720FAAB5" w14:textId="054D956E" w:rsidR="00EA2C5A" w:rsidRPr="009D3C92" w:rsidRDefault="00EA2C5A" w:rsidP="00EA2C5A">
      <w:pPr>
        <w:spacing w:line="480" w:lineRule="auto"/>
        <w:jc w:val="both"/>
        <w:rPr>
          <w:rFonts w:ascii="Times New Roman" w:hAnsi="Times New Roman"/>
          <w:szCs w:val="24"/>
        </w:rPr>
      </w:pPr>
      <w:r w:rsidRPr="009D3C92">
        <w:rPr>
          <w:rFonts w:ascii="Times New Roman" w:hAnsi="Times New Roman"/>
          <w:noProof/>
          <w:szCs w:val="24"/>
          <w:lang w:val="es-MX" w:eastAsia="es-MX"/>
        </w:rPr>
        <w:drawing>
          <wp:inline distT="0" distB="0" distL="0" distR="0" wp14:anchorId="5DDD7769" wp14:editId="143AE119">
            <wp:extent cx="5731510" cy="21539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85F9B" w14:textId="6223A771" w:rsidR="00034B2C" w:rsidRPr="00034B2C" w:rsidRDefault="00EA2C5A" w:rsidP="00034B2C">
      <w:pPr>
        <w:spacing w:line="480" w:lineRule="auto"/>
        <w:jc w:val="both"/>
        <w:rPr>
          <w:rFonts w:ascii="Times New Roman" w:hAnsi="Times New Roman"/>
          <w:szCs w:val="24"/>
        </w:rPr>
      </w:pPr>
      <w:r w:rsidRPr="009D3C92">
        <w:rPr>
          <w:rFonts w:ascii="Times New Roman" w:hAnsi="Times New Roman"/>
          <w:b/>
          <w:bCs/>
          <w:szCs w:val="24"/>
        </w:rPr>
        <w:t>Figura 1.</w:t>
      </w:r>
      <w:r w:rsidRPr="009D3C92">
        <w:rPr>
          <w:rFonts w:ascii="Times New Roman" w:hAnsi="Times New Roman"/>
          <w:szCs w:val="24"/>
        </w:rPr>
        <w:t xml:space="preserve"> (A) </w:t>
      </w:r>
      <w:r w:rsidRPr="009D3C92">
        <w:rPr>
          <w:rFonts w:ascii="Times New Roman" w:hAnsi="Times New Roman"/>
          <w:szCs w:val="24"/>
          <w:u w:val="single"/>
        </w:rPr>
        <w:t>Occidente</w:t>
      </w:r>
      <w:r w:rsidRPr="009D3C92">
        <w:rPr>
          <w:rFonts w:ascii="Times New Roman" w:hAnsi="Times New Roman"/>
          <w:szCs w:val="24"/>
        </w:rPr>
        <w:t xml:space="preserve">. Balneario </w:t>
      </w:r>
      <w:proofErr w:type="spellStart"/>
      <w:r w:rsidRPr="009D3C92">
        <w:rPr>
          <w:rFonts w:ascii="Times New Roman" w:hAnsi="Times New Roman"/>
          <w:szCs w:val="24"/>
        </w:rPr>
        <w:t>Caimare</w:t>
      </w:r>
      <w:proofErr w:type="spellEnd"/>
      <w:r w:rsidRPr="009D3C92">
        <w:rPr>
          <w:rFonts w:ascii="Times New Roman" w:hAnsi="Times New Roman"/>
          <w:szCs w:val="24"/>
        </w:rPr>
        <w:t xml:space="preserve"> Chico y costa norte de la Isla San Carlos </w:t>
      </w:r>
      <w:r w:rsidR="00C62CE9">
        <w:rPr>
          <w:rFonts w:ascii="Times New Roman" w:hAnsi="Times New Roman"/>
          <w:szCs w:val="24"/>
        </w:rPr>
        <w:t xml:space="preserve">(ISC) </w:t>
      </w:r>
      <w:r w:rsidRPr="009D3C92">
        <w:rPr>
          <w:rFonts w:ascii="Times New Roman" w:hAnsi="Times New Roman"/>
          <w:szCs w:val="24"/>
        </w:rPr>
        <w:t>(</w:t>
      </w:r>
      <w:r w:rsidRPr="009D3C92">
        <w:rPr>
          <w:rFonts w:ascii="Times New Roman" w:hAnsi="Times New Roman"/>
          <w:color w:val="000000"/>
          <w:szCs w:val="24"/>
        </w:rPr>
        <w:t>11°2′ 20.04″ N</w:t>
      </w:r>
      <w:r w:rsidR="00101F62">
        <w:rPr>
          <w:rFonts w:ascii="Times New Roman" w:hAnsi="Times New Roman"/>
          <w:color w:val="000000"/>
          <w:szCs w:val="24"/>
        </w:rPr>
        <w:t>.</w:t>
      </w:r>
      <w:r w:rsidRPr="009D3C92">
        <w:rPr>
          <w:rStyle w:val="apple-converted-space"/>
          <w:rFonts w:ascii="Times New Roman" w:hAnsi="Times New Roman"/>
          <w:color w:val="000000"/>
          <w:szCs w:val="24"/>
        </w:rPr>
        <w:t xml:space="preserve"> </w:t>
      </w:r>
      <w:r w:rsidRPr="009D3C92">
        <w:rPr>
          <w:rFonts w:ascii="Times New Roman" w:hAnsi="Times New Roman"/>
          <w:color w:val="000000"/>
          <w:szCs w:val="24"/>
        </w:rPr>
        <w:t xml:space="preserve">71 42′42.84″ W) </w:t>
      </w:r>
      <w:r w:rsidRPr="009D3C92">
        <w:rPr>
          <w:rFonts w:ascii="Times New Roman" w:hAnsi="Times New Roman"/>
          <w:szCs w:val="24"/>
        </w:rPr>
        <w:t xml:space="preserve">(Golfo de Venezuela y Estrecho del Lago de Maracaibo), (B) </w:t>
      </w:r>
      <w:r w:rsidRPr="009D3C92">
        <w:rPr>
          <w:rFonts w:ascii="Times New Roman" w:hAnsi="Times New Roman"/>
          <w:szCs w:val="24"/>
          <w:u w:val="single"/>
        </w:rPr>
        <w:t>Oriente</w:t>
      </w:r>
      <w:r w:rsidRPr="009D3C92">
        <w:rPr>
          <w:rFonts w:ascii="Times New Roman" w:hAnsi="Times New Roman"/>
          <w:szCs w:val="24"/>
        </w:rPr>
        <w:t xml:space="preserve">. Isla La Tortuga </w:t>
      </w:r>
      <w:r w:rsidR="00C62CE9">
        <w:rPr>
          <w:rFonts w:ascii="Times New Roman" w:hAnsi="Times New Roman"/>
          <w:szCs w:val="24"/>
        </w:rPr>
        <w:t xml:space="preserve">(ILT) </w:t>
      </w:r>
      <w:r w:rsidRPr="009D3C92">
        <w:rPr>
          <w:rFonts w:ascii="Times New Roman" w:hAnsi="Times New Roman"/>
          <w:szCs w:val="24"/>
        </w:rPr>
        <w:t>(10°55′54″ N</w:t>
      </w:r>
      <w:r w:rsidR="00101F62">
        <w:rPr>
          <w:rFonts w:ascii="Times New Roman" w:hAnsi="Times New Roman"/>
          <w:szCs w:val="24"/>
        </w:rPr>
        <w:t>.</w:t>
      </w:r>
      <w:r w:rsidRPr="009D3C92">
        <w:rPr>
          <w:rFonts w:ascii="Times New Roman" w:hAnsi="Times New Roman"/>
          <w:szCs w:val="24"/>
        </w:rPr>
        <w:t xml:space="preserve"> 65°18′29″ W).</w:t>
      </w:r>
    </w:p>
    <w:p w14:paraId="0ECF81C6" w14:textId="77777777" w:rsidR="00C62CE9" w:rsidRDefault="00034B2C" w:rsidP="00C62CE9">
      <w:pPr>
        <w:spacing w:line="480" w:lineRule="auto"/>
        <w:jc w:val="center"/>
      </w:pPr>
      <w:r w:rsidRPr="00034B2C">
        <w:rPr>
          <w:noProof/>
          <w:lang w:val="es-MX" w:eastAsia="es-MX"/>
        </w:rPr>
        <w:lastRenderedPageBreak/>
        <w:drawing>
          <wp:inline distT="0" distB="0" distL="0" distR="0" wp14:anchorId="0B46DC1F" wp14:editId="2B66F92D">
            <wp:extent cx="4151398" cy="5349875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9980" cy="538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1EF2B" w14:textId="5B52B3FB" w:rsidR="00B22FC5" w:rsidRPr="00BE27EB" w:rsidRDefault="00B678BC" w:rsidP="00C62CE9">
      <w:pPr>
        <w:spacing w:line="480" w:lineRule="auto"/>
        <w:jc w:val="both"/>
      </w:pPr>
      <w:r w:rsidRPr="009D3C92">
        <w:rPr>
          <w:rFonts w:ascii="Times New Roman" w:hAnsi="Times New Roman"/>
          <w:b/>
          <w:bCs/>
          <w:szCs w:val="24"/>
        </w:rPr>
        <w:t xml:space="preserve">Figura </w:t>
      </w:r>
      <w:r w:rsidR="00736324">
        <w:rPr>
          <w:rFonts w:ascii="Times New Roman" w:hAnsi="Times New Roman"/>
          <w:b/>
          <w:bCs/>
          <w:szCs w:val="24"/>
        </w:rPr>
        <w:t>2</w:t>
      </w:r>
      <w:r w:rsidRPr="009D3C92">
        <w:rPr>
          <w:rFonts w:ascii="Times New Roman" w:hAnsi="Times New Roman"/>
          <w:b/>
          <w:bCs/>
          <w:szCs w:val="24"/>
        </w:rPr>
        <w:t>.</w:t>
      </w:r>
      <w:r w:rsidR="00677A04" w:rsidRPr="00677A04">
        <w:t xml:space="preserve"> </w:t>
      </w:r>
      <w:r w:rsidR="00677A04" w:rsidRPr="00034B2C">
        <w:t>Vistas dorsal, ventral y lateral de</w:t>
      </w:r>
      <w:r w:rsidR="00677A04">
        <w:t xml:space="preserve"> cráneo de</w:t>
      </w:r>
      <w:r w:rsidR="00677A04" w:rsidRPr="00677A04">
        <w:t xml:space="preserve"> </w:t>
      </w:r>
      <w:proofErr w:type="spellStart"/>
      <w:r w:rsidR="00677A04" w:rsidRPr="00034B2C">
        <w:rPr>
          <w:i/>
          <w:iCs/>
        </w:rPr>
        <w:t>S</w:t>
      </w:r>
      <w:r w:rsidR="00677A04">
        <w:rPr>
          <w:i/>
          <w:iCs/>
        </w:rPr>
        <w:t>tenella</w:t>
      </w:r>
      <w:proofErr w:type="spellEnd"/>
      <w:r w:rsidR="00677A04">
        <w:rPr>
          <w:i/>
          <w:iCs/>
        </w:rPr>
        <w:t xml:space="preserve"> </w:t>
      </w:r>
      <w:proofErr w:type="spellStart"/>
      <w:r w:rsidR="00677A04" w:rsidRPr="00034B2C">
        <w:rPr>
          <w:i/>
          <w:iCs/>
        </w:rPr>
        <w:t>frontalis</w:t>
      </w:r>
      <w:proofErr w:type="spellEnd"/>
      <w:r w:rsidR="0005146A">
        <w:rPr>
          <w:i/>
          <w:iCs/>
        </w:rPr>
        <w:t xml:space="preserve"> </w:t>
      </w:r>
      <w:r w:rsidR="0005146A">
        <w:t>(CRI 001)</w:t>
      </w:r>
      <w:r w:rsidR="00677A04">
        <w:t>, mostrando las medidas craneanas consideradas en este estudio</w:t>
      </w:r>
      <w:r w:rsidR="00B22FC5">
        <w:t xml:space="preserve"> </w:t>
      </w:r>
      <w:r w:rsidR="0005146A">
        <w:t xml:space="preserve">(Foto: I. Cañizales). </w:t>
      </w:r>
      <w:r w:rsidR="00B22FC5">
        <w:t xml:space="preserve">(1) LCB = Longitud </w:t>
      </w:r>
      <w:proofErr w:type="spellStart"/>
      <w:r w:rsidR="00B22FC5">
        <w:t>condilobasal</w:t>
      </w:r>
      <w:proofErr w:type="spellEnd"/>
      <w:r w:rsidR="00B22FC5">
        <w:t>;</w:t>
      </w:r>
      <w:r w:rsidR="00B22FC5">
        <w:rPr>
          <w:rFonts w:ascii="Times New Roman" w:hAnsi="Times New Roman"/>
          <w:szCs w:val="24"/>
        </w:rPr>
        <w:t xml:space="preserve"> </w:t>
      </w:r>
      <w:r w:rsidR="00B22FC5">
        <w:t>(</w:t>
      </w:r>
      <w:r w:rsidR="00032F3E">
        <w:t>2</w:t>
      </w:r>
      <w:r w:rsidR="00B22FC5">
        <w:t>)</w:t>
      </w:r>
      <w:r w:rsidR="00032F3E">
        <w:t xml:space="preserve"> </w:t>
      </w:r>
      <w:r w:rsidR="00B22FC5">
        <w:t xml:space="preserve">LR = </w:t>
      </w:r>
      <w:r w:rsidR="00032F3E">
        <w:t>Longitud del rostro</w:t>
      </w:r>
      <w:r w:rsidR="00B22FC5">
        <w:t>; (</w:t>
      </w:r>
      <w:r w:rsidR="00032F3E">
        <w:t>3</w:t>
      </w:r>
      <w:r w:rsidR="00B22FC5">
        <w:t xml:space="preserve">) LSSD = </w:t>
      </w:r>
      <w:r w:rsidR="00032F3E">
        <w:t>Longitud de la serie dentaria superior derecha</w:t>
      </w:r>
      <w:r w:rsidR="00B22FC5">
        <w:t>; (</w:t>
      </w:r>
      <w:r w:rsidR="00032F3E">
        <w:t>4</w:t>
      </w:r>
      <w:r w:rsidR="00B22FC5">
        <w:t xml:space="preserve">) LSDSI = </w:t>
      </w:r>
      <w:r w:rsidR="00032F3E">
        <w:t>Longitud de la serie dentaria superior izquierda</w:t>
      </w:r>
      <w:r w:rsidR="00B22FC5">
        <w:t>; (</w:t>
      </w:r>
      <w:r w:rsidR="00032F3E">
        <w:t>5</w:t>
      </w:r>
      <w:r w:rsidR="00B22FC5">
        <w:t>)</w:t>
      </w:r>
      <w:r w:rsidR="00B22FC5" w:rsidRPr="00B22FC5">
        <w:t xml:space="preserve"> </w:t>
      </w:r>
      <w:r w:rsidR="00B22FC5">
        <w:t xml:space="preserve">DERBAON = </w:t>
      </w:r>
      <w:r w:rsidR="00032F3E">
        <w:t>Distancia de la extremidad del rostro al borde anterior del orificio nasal</w:t>
      </w:r>
      <w:r w:rsidR="00B22FC5">
        <w:t>; (</w:t>
      </w:r>
      <w:r w:rsidR="00032F3E">
        <w:t>6</w:t>
      </w:r>
      <w:r w:rsidR="00B22FC5">
        <w:t xml:space="preserve">) DERBP = </w:t>
      </w:r>
      <w:r w:rsidR="00032F3E">
        <w:t>Distancia de la extremidad del rostro a la base de los pterigoides</w:t>
      </w:r>
      <w:r w:rsidR="00B22FC5">
        <w:t>; (</w:t>
      </w:r>
      <w:r w:rsidR="00032F3E">
        <w:t>7</w:t>
      </w:r>
      <w:r w:rsidR="00B22FC5">
        <w:t xml:space="preserve">) ARB = </w:t>
      </w:r>
      <w:r w:rsidR="00032F3E">
        <w:t>Ancho del rostro en su base</w:t>
      </w:r>
      <w:r w:rsidR="00B22FC5">
        <w:t>; (</w:t>
      </w:r>
      <w:r w:rsidR="00032F3E">
        <w:t>8</w:t>
      </w:r>
      <w:r w:rsidR="00B22FC5">
        <w:t xml:space="preserve">) ARML = </w:t>
      </w:r>
      <w:r w:rsidR="00032F3E">
        <w:t>Ancho del rostro a la mitad de su longitud</w:t>
      </w:r>
      <w:r w:rsidR="00B22FC5">
        <w:t>; (</w:t>
      </w:r>
      <w:r w:rsidR="00032F3E">
        <w:t>9</w:t>
      </w:r>
      <w:r w:rsidR="00B22FC5">
        <w:t xml:space="preserve">) AR¾L = </w:t>
      </w:r>
      <w:r w:rsidR="00032F3E">
        <w:t>Ancho del rostro a ¾ de su longitud</w:t>
      </w:r>
      <w:r w:rsidR="00B22FC5">
        <w:t>; (</w:t>
      </w:r>
      <w:r w:rsidR="00032F3E">
        <w:t>10</w:t>
      </w:r>
      <w:r w:rsidR="00B22FC5">
        <w:t xml:space="preserve">) AMPM = </w:t>
      </w:r>
      <w:r w:rsidR="00032F3E">
        <w:t xml:space="preserve">Ancho máximo de los </w:t>
      </w:r>
      <w:proofErr w:type="spellStart"/>
      <w:r w:rsidR="00032F3E">
        <w:t>premaxilares</w:t>
      </w:r>
      <w:proofErr w:type="spellEnd"/>
      <w:r w:rsidR="00B22FC5">
        <w:t>; (</w:t>
      </w:r>
      <w:r w:rsidR="00032F3E">
        <w:t>11</w:t>
      </w:r>
      <w:r w:rsidR="00B22FC5">
        <w:t xml:space="preserve">) ACAZ = </w:t>
      </w:r>
      <w:r w:rsidR="00032F3E">
        <w:t>Ancho del cráneo a nivel de las apófisis zigomáticas</w:t>
      </w:r>
      <w:r w:rsidR="00B22FC5">
        <w:t>; (</w:t>
      </w:r>
      <w:r w:rsidR="00032F3E">
        <w:t>12</w:t>
      </w:r>
      <w:r w:rsidR="00B22FC5">
        <w:t xml:space="preserve">) ACP = </w:t>
      </w:r>
      <w:r w:rsidR="00032F3E">
        <w:t>Ancho del cráneo a nivel del parietal</w:t>
      </w:r>
      <w:r w:rsidR="00B22FC5">
        <w:t>; (</w:t>
      </w:r>
      <w:r w:rsidR="00032F3E">
        <w:t>13</w:t>
      </w:r>
      <w:r w:rsidR="00B22FC5">
        <w:t xml:space="preserve">) LFT = </w:t>
      </w:r>
      <w:r w:rsidR="00032F3E">
        <w:t>Longitud de la fosa temporal</w:t>
      </w:r>
      <w:r w:rsidR="00B22FC5">
        <w:t>; (</w:t>
      </w:r>
      <w:r w:rsidR="00032F3E">
        <w:t>14</w:t>
      </w:r>
      <w:r w:rsidR="00B22FC5">
        <w:t xml:space="preserve">) AFT = </w:t>
      </w:r>
      <w:r w:rsidR="00032F3E">
        <w:t>Altura de la fosa temporal</w:t>
      </w:r>
      <w:r w:rsidR="00B22FC5">
        <w:t>.</w:t>
      </w:r>
      <w:r w:rsidR="0005146A">
        <w:t xml:space="preserve"> </w:t>
      </w:r>
    </w:p>
    <w:p w14:paraId="18C62146" w14:textId="2F10065C" w:rsidR="00EA2C5A" w:rsidRPr="00B678BC" w:rsidRDefault="00B678BC" w:rsidP="00EA2C5A">
      <w:pPr>
        <w:spacing w:line="480" w:lineRule="auto"/>
        <w:jc w:val="center"/>
        <w:rPr>
          <w:rFonts w:ascii="Times New Roman" w:hAnsi="Times New Roman"/>
          <w:bCs/>
          <w:szCs w:val="24"/>
        </w:rPr>
      </w:pPr>
      <w:r w:rsidRPr="00B678BC">
        <w:rPr>
          <w:rFonts w:ascii="Times New Roman" w:hAnsi="Times New Roman"/>
          <w:bCs/>
          <w:noProof/>
          <w:szCs w:val="24"/>
          <w:lang w:val="es-MX" w:eastAsia="es-MX"/>
        </w:rPr>
        <w:lastRenderedPageBreak/>
        <w:drawing>
          <wp:inline distT="0" distB="0" distL="0" distR="0" wp14:anchorId="14D0BF95" wp14:editId="1AF73FF9">
            <wp:extent cx="5264380" cy="74057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6216" cy="743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74044" w14:textId="12EA6323" w:rsidR="00EA2C5A" w:rsidRPr="009D3C92" w:rsidRDefault="00EA2C5A" w:rsidP="00EA2C5A">
      <w:pPr>
        <w:tabs>
          <w:tab w:val="left" w:pos="6082"/>
        </w:tabs>
        <w:spacing w:line="480" w:lineRule="auto"/>
        <w:jc w:val="both"/>
        <w:rPr>
          <w:rFonts w:ascii="Times New Roman" w:hAnsi="Times New Roman"/>
          <w:noProof/>
          <w:color w:val="000000" w:themeColor="text1"/>
        </w:rPr>
      </w:pPr>
      <w:r w:rsidRPr="009D3C92">
        <w:rPr>
          <w:rFonts w:ascii="Times New Roman" w:hAnsi="Times New Roman"/>
          <w:b/>
          <w:bCs/>
          <w:noProof/>
          <w:color w:val="000000" w:themeColor="text1"/>
        </w:rPr>
        <w:t xml:space="preserve">Figura </w:t>
      </w:r>
      <w:r w:rsidR="008906C3">
        <w:rPr>
          <w:rFonts w:ascii="Times New Roman" w:hAnsi="Times New Roman"/>
          <w:b/>
          <w:bCs/>
          <w:noProof/>
          <w:color w:val="000000" w:themeColor="text1"/>
        </w:rPr>
        <w:t>3</w:t>
      </w:r>
      <w:r w:rsidRPr="009D3C92">
        <w:rPr>
          <w:rFonts w:ascii="Times New Roman" w:hAnsi="Times New Roman"/>
          <w:b/>
          <w:bCs/>
          <w:noProof/>
          <w:color w:val="000000" w:themeColor="text1"/>
        </w:rPr>
        <w:t>.</w:t>
      </w:r>
      <w:r w:rsidRPr="009D3C92">
        <w:rPr>
          <w:rFonts w:ascii="Times New Roman" w:hAnsi="Times New Roman"/>
          <w:noProof/>
          <w:color w:val="000000" w:themeColor="text1"/>
        </w:rPr>
        <w:t xml:space="preserve"> Diagramas de dispersión de ancho vs. largo del cráneo para </w:t>
      </w:r>
      <w:r w:rsidRPr="009D3C92">
        <w:rPr>
          <w:rFonts w:ascii="Times New Roman" w:hAnsi="Times New Roman"/>
          <w:i/>
          <w:iCs/>
          <w:noProof/>
          <w:color w:val="000000" w:themeColor="text1"/>
        </w:rPr>
        <w:t>S. frontalis</w:t>
      </w:r>
      <w:r w:rsidRPr="009D3C92">
        <w:rPr>
          <w:rFonts w:ascii="Times New Roman" w:hAnsi="Times New Roman"/>
          <w:noProof/>
          <w:color w:val="000000" w:themeColor="text1"/>
        </w:rPr>
        <w:t xml:space="preserve"> - LCB vs. LR (A), LCB vs. ARB (B), LCB vs. AMPM (C), LR vs. ACAZ (D), ARB vs. AMPM (E) y ARB vs. ACP (E). Se reportan los coeficientes de determinación R</w:t>
      </w:r>
      <w:r w:rsidRPr="009D3C92">
        <w:rPr>
          <w:rFonts w:ascii="Times New Roman" w:hAnsi="Times New Roman"/>
          <w:noProof/>
          <w:color w:val="000000" w:themeColor="text1"/>
          <w:vertAlign w:val="superscript"/>
        </w:rPr>
        <w:t>2</w:t>
      </w:r>
      <w:r w:rsidRPr="009D3C92">
        <w:rPr>
          <w:rFonts w:ascii="Times New Roman" w:hAnsi="Times New Roman"/>
          <w:noProof/>
          <w:color w:val="000000" w:themeColor="text1"/>
        </w:rPr>
        <w:t>. Para las siglas ver Materiales y métodos.</w:t>
      </w:r>
    </w:p>
    <w:p w14:paraId="5B87DB17" w14:textId="77777777" w:rsidR="00EA2C5A" w:rsidRDefault="00EA2C5A" w:rsidP="00EA2C5A">
      <w:pPr>
        <w:spacing w:line="480" w:lineRule="auto"/>
        <w:jc w:val="center"/>
        <w:rPr>
          <w:rFonts w:ascii="Times New Roman" w:hAnsi="Times New Roman"/>
          <w:bCs/>
          <w:szCs w:val="24"/>
        </w:rPr>
      </w:pPr>
    </w:p>
    <w:p w14:paraId="6E819237" w14:textId="77777777" w:rsidR="00EA2C5A" w:rsidRDefault="00EA2C5A" w:rsidP="00EA2C5A">
      <w:pPr>
        <w:spacing w:line="480" w:lineRule="auto"/>
        <w:jc w:val="center"/>
        <w:rPr>
          <w:rFonts w:ascii="Times New Roman" w:hAnsi="Times New Roman"/>
          <w:bCs/>
          <w:szCs w:val="24"/>
        </w:rPr>
      </w:pPr>
    </w:p>
    <w:p w14:paraId="731AA9AE" w14:textId="77777777" w:rsidR="00EA2C5A" w:rsidRDefault="00EA2C5A" w:rsidP="00EA2C5A">
      <w:pPr>
        <w:spacing w:line="480" w:lineRule="auto"/>
        <w:jc w:val="center"/>
        <w:rPr>
          <w:rFonts w:ascii="Times New Roman" w:hAnsi="Times New Roman"/>
          <w:bCs/>
          <w:szCs w:val="24"/>
        </w:rPr>
      </w:pPr>
    </w:p>
    <w:p w14:paraId="66F778BE" w14:textId="77777777" w:rsidR="00EA2C5A" w:rsidRDefault="00EA2C5A" w:rsidP="00EA2C5A">
      <w:pPr>
        <w:spacing w:line="480" w:lineRule="auto"/>
        <w:jc w:val="center"/>
        <w:rPr>
          <w:rFonts w:ascii="Times New Roman" w:hAnsi="Times New Roman"/>
          <w:bCs/>
          <w:szCs w:val="24"/>
        </w:rPr>
      </w:pPr>
    </w:p>
    <w:p w14:paraId="2FF709D0" w14:textId="77777777" w:rsidR="00EA2C5A" w:rsidRDefault="00EA2C5A" w:rsidP="00EA2C5A">
      <w:pPr>
        <w:spacing w:line="480" w:lineRule="auto"/>
        <w:jc w:val="center"/>
        <w:rPr>
          <w:rFonts w:ascii="Times New Roman" w:hAnsi="Times New Roman"/>
          <w:bCs/>
          <w:szCs w:val="24"/>
        </w:rPr>
      </w:pPr>
    </w:p>
    <w:p w14:paraId="771D5360" w14:textId="5E3045BF" w:rsidR="00EA2C5A" w:rsidRPr="009D3C92" w:rsidRDefault="00192619" w:rsidP="00EA2C5A">
      <w:pPr>
        <w:spacing w:line="480" w:lineRule="auto"/>
        <w:jc w:val="center"/>
        <w:rPr>
          <w:rFonts w:ascii="Times New Roman" w:hAnsi="Times New Roman"/>
          <w:bCs/>
          <w:szCs w:val="24"/>
        </w:rPr>
      </w:pPr>
      <w:r w:rsidRPr="00192619">
        <w:rPr>
          <w:rFonts w:ascii="Times New Roman" w:hAnsi="Times New Roman"/>
          <w:bCs/>
          <w:noProof/>
          <w:szCs w:val="24"/>
          <w:lang w:val="es-MX" w:eastAsia="es-MX"/>
        </w:rPr>
        <w:drawing>
          <wp:inline distT="0" distB="0" distL="0" distR="0" wp14:anchorId="7CF0A44C" wp14:editId="35388C66">
            <wp:extent cx="5727700" cy="276796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46EA7" w14:textId="3C2974D7" w:rsidR="00EA2C5A" w:rsidRPr="009D3C92" w:rsidRDefault="00EA2C5A" w:rsidP="00EA2C5A">
      <w:pPr>
        <w:spacing w:line="480" w:lineRule="auto"/>
        <w:jc w:val="both"/>
        <w:rPr>
          <w:rFonts w:ascii="Times New Roman" w:hAnsi="Times New Roman"/>
          <w:iCs/>
        </w:rPr>
      </w:pPr>
      <w:r w:rsidRPr="009D3C92">
        <w:rPr>
          <w:rFonts w:ascii="Times New Roman" w:hAnsi="Times New Roman"/>
          <w:b/>
          <w:bCs/>
          <w:iCs/>
        </w:rPr>
        <w:t xml:space="preserve">Figura </w:t>
      </w:r>
      <w:r w:rsidR="00192DD6">
        <w:rPr>
          <w:rFonts w:ascii="Times New Roman" w:hAnsi="Times New Roman"/>
          <w:b/>
          <w:bCs/>
          <w:iCs/>
        </w:rPr>
        <w:t>4</w:t>
      </w:r>
      <w:r w:rsidRPr="009D3C92">
        <w:rPr>
          <w:rFonts w:ascii="Times New Roman" w:hAnsi="Times New Roman"/>
          <w:b/>
          <w:bCs/>
          <w:iCs/>
        </w:rPr>
        <w:t>.</w:t>
      </w:r>
      <w:r w:rsidRPr="009D3C92">
        <w:rPr>
          <w:rFonts w:ascii="Times New Roman" w:hAnsi="Times New Roman"/>
          <w:iCs/>
        </w:rPr>
        <w:t xml:space="preserve"> Análisis de Componentes Principales: (Izquierda) Diagramas de dispersión de tamaño y forma de los cráneos de </w:t>
      </w:r>
      <w:r w:rsidRPr="009D3C92">
        <w:rPr>
          <w:rFonts w:ascii="Times New Roman" w:hAnsi="Times New Roman"/>
          <w:i/>
        </w:rPr>
        <w:t xml:space="preserve">S. </w:t>
      </w:r>
      <w:proofErr w:type="spellStart"/>
      <w:r w:rsidRPr="009D3C92">
        <w:rPr>
          <w:rFonts w:ascii="Times New Roman" w:hAnsi="Times New Roman"/>
          <w:i/>
        </w:rPr>
        <w:t>frontalis</w:t>
      </w:r>
      <w:proofErr w:type="spellEnd"/>
      <w:r w:rsidRPr="009D3C92">
        <w:rPr>
          <w:rFonts w:ascii="Times New Roman" w:hAnsi="Times New Roman"/>
          <w:i/>
        </w:rPr>
        <w:t xml:space="preserve"> </w:t>
      </w:r>
      <w:r w:rsidRPr="009D3C92">
        <w:rPr>
          <w:rFonts w:ascii="Times New Roman" w:hAnsi="Times New Roman"/>
          <w:iCs/>
        </w:rPr>
        <w:t xml:space="preserve">(Occidente </w:t>
      </w:r>
      <w:r w:rsidRPr="009D3C92">
        <w:rPr>
          <w:rFonts w:ascii="Times New Roman" w:hAnsi="Times New Roman"/>
          <w:iCs/>
          <w:color w:val="FF0000"/>
          <w:sz w:val="32"/>
          <w:szCs w:val="32"/>
        </w:rPr>
        <w:t>•</w:t>
      </w:r>
      <w:r w:rsidRPr="009D3C92">
        <w:rPr>
          <w:rFonts w:ascii="Times New Roman" w:hAnsi="Times New Roman"/>
          <w:iCs/>
        </w:rPr>
        <w:t xml:space="preserve">) y </w:t>
      </w:r>
      <w:r w:rsidRPr="009D3C92">
        <w:rPr>
          <w:rFonts w:ascii="Times New Roman" w:hAnsi="Times New Roman"/>
          <w:i/>
        </w:rPr>
        <w:t xml:space="preserve">S. </w:t>
      </w:r>
      <w:proofErr w:type="spellStart"/>
      <w:r w:rsidRPr="009D3C92">
        <w:rPr>
          <w:rFonts w:ascii="Times New Roman" w:hAnsi="Times New Roman"/>
          <w:i/>
        </w:rPr>
        <w:t>frontalis</w:t>
      </w:r>
      <w:proofErr w:type="spellEnd"/>
      <w:r w:rsidRPr="009D3C92">
        <w:rPr>
          <w:rFonts w:ascii="Times New Roman" w:hAnsi="Times New Roman"/>
          <w:i/>
        </w:rPr>
        <w:t xml:space="preserve"> </w:t>
      </w:r>
      <w:r w:rsidRPr="009D3C92">
        <w:rPr>
          <w:rFonts w:ascii="Times New Roman" w:hAnsi="Times New Roman"/>
          <w:iCs/>
        </w:rPr>
        <w:t xml:space="preserve">(Oriente </w:t>
      </w:r>
      <w:r w:rsidRPr="009D3C92">
        <w:rPr>
          <w:rFonts w:ascii="Times New Roman" w:hAnsi="Times New Roman"/>
          <w:iCs/>
          <w:color w:val="000000" w:themeColor="text1"/>
          <w:sz w:val="32"/>
          <w:szCs w:val="32"/>
        </w:rPr>
        <w:t>•</w:t>
      </w:r>
      <w:r w:rsidRPr="009D3C92">
        <w:rPr>
          <w:rFonts w:ascii="Times New Roman" w:hAnsi="Times New Roman"/>
          <w:iCs/>
        </w:rPr>
        <w:t xml:space="preserve">). Se dibujaron líneas alrededor de cada grupo para ayudar a la visualización. (Derecha) Cargas de 14 variables </w:t>
      </w:r>
      <w:proofErr w:type="spellStart"/>
      <w:r w:rsidRPr="009D3C92">
        <w:rPr>
          <w:rFonts w:ascii="Times New Roman" w:hAnsi="Times New Roman"/>
          <w:iCs/>
        </w:rPr>
        <w:t>morfométricas</w:t>
      </w:r>
      <w:proofErr w:type="spellEnd"/>
      <w:r w:rsidRPr="009D3C92">
        <w:rPr>
          <w:rFonts w:ascii="Times New Roman" w:hAnsi="Times New Roman"/>
          <w:iCs/>
        </w:rPr>
        <w:t>. Para las siglas ver Materiales y métodos.</w:t>
      </w:r>
    </w:p>
    <w:p w14:paraId="682432B0" w14:textId="46454DDE" w:rsidR="00EA2C5A" w:rsidRDefault="00EA2C5A">
      <w:pPr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br w:type="page"/>
      </w:r>
    </w:p>
    <w:p w14:paraId="6BC91F47" w14:textId="1DC1DAA2" w:rsidR="00EA2C5A" w:rsidRDefault="00EA2C5A" w:rsidP="00EA2C5A">
      <w:pPr>
        <w:spacing w:line="480" w:lineRule="auto"/>
        <w:jc w:val="center"/>
        <w:rPr>
          <w:rFonts w:ascii="Times New Roman" w:hAnsi="Times New Roman"/>
          <w:bCs/>
          <w:szCs w:val="24"/>
        </w:rPr>
      </w:pPr>
    </w:p>
    <w:p w14:paraId="7BF818E7" w14:textId="77777777" w:rsidR="00EA2C5A" w:rsidRDefault="00EA2C5A" w:rsidP="00EA2C5A">
      <w:pPr>
        <w:spacing w:line="480" w:lineRule="auto"/>
        <w:jc w:val="center"/>
        <w:rPr>
          <w:rFonts w:ascii="Times New Roman" w:hAnsi="Times New Roman"/>
          <w:bCs/>
          <w:szCs w:val="24"/>
        </w:rPr>
      </w:pPr>
    </w:p>
    <w:p w14:paraId="1A3D8C8A" w14:textId="77777777" w:rsidR="00EA2C5A" w:rsidRDefault="00EA2C5A" w:rsidP="00EA2C5A">
      <w:pPr>
        <w:spacing w:line="480" w:lineRule="auto"/>
        <w:jc w:val="center"/>
        <w:rPr>
          <w:rFonts w:ascii="Times New Roman" w:hAnsi="Times New Roman"/>
          <w:bCs/>
          <w:szCs w:val="24"/>
        </w:rPr>
      </w:pPr>
    </w:p>
    <w:p w14:paraId="189C8BF4" w14:textId="4FB97EAD" w:rsidR="00EA2C5A" w:rsidRPr="009D3C92" w:rsidRDefault="00EA2C5A" w:rsidP="00EA2C5A">
      <w:pPr>
        <w:spacing w:line="480" w:lineRule="auto"/>
        <w:jc w:val="center"/>
        <w:rPr>
          <w:rFonts w:ascii="Times New Roman" w:hAnsi="Times New Roman"/>
          <w:bCs/>
          <w:szCs w:val="24"/>
        </w:rPr>
      </w:pPr>
      <w:r w:rsidRPr="009D3C92">
        <w:rPr>
          <w:rFonts w:ascii="Times New Roman" w:hAnsi="Times New Roman"/>
          <w:bCs/>
          <w:noProof/>
          <w:szCs w:val="24"/>
          <w:lang w:val="es-MX" w:eastAsia="es-MX"/>
        </w:rPr>
        <w:drawing>
          <wp:inline distT="0" distB="0" distL="0" distR="0" wp14:anchorId="69A22485" wp14:editId="0C5FFDCD">
            <wp:extent cx="4559707" cy="4643926"/>
            <wp:effectExtent l="0" t="4128" r="0" b="0"/>
            <wp:docPr id="27" name="Picture 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0782" b="8860"/>
                    <a:stretch/>
                  </pic:blipFill>
                  <pic:spPr bwMode="auto">
                    <a:xfrm rot="5400000">
                      <a:off x="0" y="0"/>
                      <a:ext cx="4618834" cy="4704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1D76C" w14:textId="65E29187" w:rsidR="00EA2C5A" w:rsidRDefault="00EA2C5A" w:rsidP="00EA2C5A">
      <w:pPr>
        <w:spacing w:line="480" w:lineRule="auto"/>
        <w:jc w:val="both"/>
        <w:rPr>
          <w:rFonts w:ascii="Times New Roman" w:hAnsi="Times New Roman"/>
          <w:noProof/>
          <w:color w:val="000000" w:themeColor="text1"/>
        </w:rPr>
      </w:pPr>
      <w:r w:rsidRPr="009D3C92">
        <w:rPr>
          <w:rFonts w:ascii="Times New Roman" w:hAnsi="Times New Roman"/>
          <w:b/>
          <w:bCs/>
          <w:noProof/>
          <w:color w:val="000000" w:themeColor="text1"/>
        </w:rPr>
        <w:t xml:space="preserve">Figura </w:t>
      </w:r>
      <w:r w:rsidR="00273F8A">
        <w:rPr>
          <w:rFonts w:ascii="Times New Roman" w:hAnsi="Times New Roman"/>
          <w:b/>
          <w:bCs/>
          <w:noProof/>
          <w:color w:val="000000" w:themeColor="text1"/>
        </w:rPr>
        <w:t>5</w:t>
      </w:r>
      <w:r w:rsidRPr="009D3C92">
        <w:rPr>
          <w:rFonts w:ascii="Times New Roman" w:hAnsi="Times New Roman"/>
          <w:b/>
          <w:bCs/>
          <w:noProof/>
          <w:color w:val="000000" w:themeColor="text1"/>
        </w:rPr>
        <w:t>.</w:t>
      </w:r>
      <w:r w:rsidRPr="009D3C92">
        <w:rPr>
          <w:rFonts w:ascii="Times New Roman" w:hAnsi="Times New Roman"/>
          <w:noProof/>
          <w:color w:val="000000" w:themeColor="text1"/>
        </w:rPr>
        <w:t xml:space="preserve"> Análisis de agrupamientos multivariado sobre las medida</w:t>
      </w:r>
      <w:r w:rsidR="00AB57AB">
        <w:rPr>
          <w:rFonts w:ascii="Times New Roman" w:hAnsi="Times New Roman"/>
          <w:noProof/>
          <w:color w:val="000000" w:themeColor="text1"/>
        </w:rPr>
        <w:t>s</w:t>
      </w:r>
      <w:r w:rsidRPr="009D3C92">
        <w:rPr>
          <w:rFonts w:ascii="Times New Roman" w:hAnsi="Times New Roman"/>
          <w:noProof/>
          <w:color w:val="000000" w:themeColor="text1"/>
        </w:rPr>
        <w:t xml:space="preserve"> craneanas de </w:t>
      </w:r>
      <w:r w:rsidRPr="009D3C92">
        <w:rPr>
          <w:rFonts w:ascii="Times New Roman" w:hAnsi="Times New Roman"/>
          <w:i/>
          <w:iCs/>
          <w:noProof/>
          <w:color w:val="000000" w:themeColor="text1"/>
        </w:rPr>
        <w:t>S. frontalis</w:t>
      </w:r>
      <w:r w:rsidRPr="009D3C92">
        <w:rPr>
          <w:rFonts w:ascii="Times New Roman" w:hAnsi="Times New Roman"/>
          <w:noProof/>
          <w:color w:val="000000" w:themeColor="text1"/>
        </w:rPr>
        <w:t xml:space="preserve"> que muestran diferentes grupos ligeramente apoyados (correlación cofenética 0</w:t>
      </w:r>
      <w:r w:rsidR="00AF7FBA">
        <w:rPr>
          <w:rFonts w:ascii="Times New Roman" w:hAnsi="Times New Roman"/>
          <w:noProof/>
          <w:color w:val="000000" w:themeColor="text1"/>
        </w:rPr>
        <w:t>.</w:t>
      </w:r>
      <w:r w:rsidRPr="009D3C92">
        <w:rPr>
          <w:rFonts w:ascii="Times New Roman" w:hAnsi="Times New Roman"/>
          <w:noProof/>
          <w:color w:val="000000" w:themeColor="text1"/>
        </w:rPr>
        <w:t>583). Se obtuvieron dendrogramas utilizando el grupo de pares no ponderados con media aritmética (UPGMA).</w:t>
      </w:r>
    </w:p>
    <w:p w14:paraId="3FF836B1" w14:textId="3056F85F" w:rsidR="00EA2C5A" w:rsidRDefault="00EA2C5A">
      <w:pPr>
        <w:rPr>
          <w:rFonts w:ascii="Times New Roman" w:hAnsi="Times New Roman"/>
          <w:noProof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</w:rPr>
        <w:br w:type="page"/>
      </w:r>
    </w:p>
    <w:p w14:paraId="138326B6" w14:textId="77E04E66" w:rsidR="00EA2C5A" w:rsidRDefault="00EA2C5A" w:rsidP="00EA2C5A">
      <w:pPr>
        <w:spacing w:line="480" w:lineRule="auto"/>
        <w:jc w:val="both"/>
        <w:rPr>
          <w:rFonts w:ascii="Times New Roman" w:hAnsi="Times New Roman"/>
          <w:noProof/>
          <w:color w:val="000000" w:themeColor="text1"/>
        </w:rPr>
      </w:pPr>
    </w:p>
    <w:p w14:paraId="732CA240" w14:textId="1259738E" w:rsidR="00EA2C5A" w:rsidRDefault="00EA2C5A" w:rsidP="00EA2C5A">
      <w:pPr>
        <w:spacing w:line="480" w:lineRule="auto"/>
        <w:jc w:val="both"/>
        <w:rPr>
          <w:rFonts w:ascii="Times New Roman" w:hAnsi="Times New Roman"/>
          <w:noProof/>
          <w:color w:val="000000" w:themeColor="text1"/>
        </w:rPr>
      </w:pPr>
    </w:p>
    <w:p w14:paraId="0CB2BD45" w14:textId="4013B9C3" w:rsidR="00EA2C5A" w:rsidRDefault="00EA2C5A" w:rsidP="00EA2C5A">
      <w:pPr>
        <w:spacing w:line="480" w:lineRule="auto"/>
        <w:jc w:val="both"/>
        <w:rPr>
          <w:rFonts w:ascii="Times New Roman" w:hAnsi="Times New Roman"/>
          <w:noProof/>
          <w:color w:val="000000" w:themeColor="text1"/>
        </w:rPr>
      </w:pPr>
    </w:p>
    <w:p w14:paraId="4FCA426F" w14:textId="1D6378F0" w:rsidR="00EA2C5A" w:rsidRDefault="00EA2C5A" w:rsidP="00EA2C5A">
      <w:pPr>
        <w:spacing w:line="480" w:lineRule="auto"/>
        <w:jc w:val="both"/>
        <w:rPr>
          <w:rFonts w:ascii="Times New Roman" w:hAnsi="Times New Roman"/>
          <w:noProof/>
          <w:color w:val="000000" w:themeColor="text1"/>
        </w:rPr>
      </w:pPr>
    </w:p>
    <w:p w14:paraId="0C235626" w14:textId="77777777" w:rsidR="00EA2C5A" w:rsidRPr="009D3C92" w:rsidRDefault="00EA2C5A" w:rsidP="00EA2C5A">
      <w:pPr>
        <w:spacing w:line="480" w:lineRule="auto"/>
        <w:jc w:val="both"/>
        <w:rPr>
          <w:rFonts w:ascii="Times New Roman" w:hAnsi="Times New Roman"/>
          <w:noProof/>
          <w:color w:val="000000" w:themeColor="text1"/>
        </w:rPr>
      </w:pPr>
    </w:p>
    <w:p w14:paraId="17756D67" w14:textId="77777777" w:rsidR="00EA2C5A" w:rsidRPr="009D3C92" w:rsidRDefault="00EA2C5A" w:rsidP="00EA2C5A">
      <w:pPr>
        <w:spacing w:line="480" w:lineRule="auto"/>
        <w:jc w:val="both"/>
        <w:rPr>
          <w:rFonts w:ascii="Times New Roman" w:hAnsi="Times New Roman"/>
          <w:bCs/>
          <w:szCs w:val="24"/>
        </w:rPr>
      </w:pPr>
      <w:r w:rsidRPr="009D3C92">
        <w:rPr>
          <w:rFonts w:ascii="Times New Roman" w:hAnsi="Times New Roman"/>
          <w:bCs/>
          <w:noProof/>
          <w:szCs w:val="24"/>
          <w:lang w:val="es-MX" w:eastAsia="es-MX"/>
        </w:rPr>
        <w:drawing>
          <wp:inline distT="0" distB="0" distL="0" distR="0" wp14:anchorId="11C5CA5E" wp14:editId="6BF12255">
            <wp:extent cx="5732255" cy="187426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20" r="2246" b="17243"/>
                    <a:stretch/>
                  </pic:blipFill>
                  <pic:spPr bwMode="auto">
                    <a:xfrm>
                      <a:off x="0" y="0"/>
                      <a:ext cx="5759129" cy="188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2C03E" w14:textId="6C4B7C0F" w:rsidR="00EA2C5A" w:rsidRPr="009D3C92" w:rsidRDefault="00EA2C5A" w:rsidP="00EA2C5A">
      <w:pPr>
        <w:spacing w:line="480" w:lineRule="auto"/>
        <w:jc w:val="both"/>
        <w:rPr>
          <w:rFonts w:ascii="Times New Roman" w:hAnsi="Times New Roman"/>
          <w:noProof/>
          <w:color w:val="000000" w:themeColor="text1"/>
        </w:rPr>
      </w:pPr>
      <w:r w:rsidRPr="009D3C92">
        <w:rPr>
          <w:rFonts w:ascii="Times New Roman" w:hAnsi="Times New Roman"/>
          <w:b/>
          <w:bCs/>
          <w:noProof/>
          <w:color w:val="000000" w:themeColor="text1"/>
        </w:rPr>
        <w:t xml:space="preserve">Figura </w:t>
      </w:r>
      <w:r w:rsidR="00273F8A">
        <w:rPr>
          <w:rFonts w:ascii="Times New Roman" w:hAnsi="Times New Roman"/>
          <w:b/>
          <w:bCs/>
          <w:noProof/>
          <w:color w:val="000000" w:themeColor="text1"/>
        </w:rPr>
        <w:t>6</w:t>
      </w:r>
      <w:r w:rsidRPr="009D3C92">
        <w:rPr>
          <w:rFonts w:ascii="Times New Roman" w:hAnsi="Times New Roman"/>
          <w:b/>
          <w:bCs/>
          <w:noProof/>
          <w:color w:val="000000" w:themeColor="text1"/>
        </w:rPr>
        <w:t>.</w:t>
      </w:r>
      <w:r w:rsidRPr="009D3C92">
        <w:rPr>
          <w:rFonts w:ascii="Times New Roman" w:hAnsi="Times New Roman"/>
          <w:noProof/>
          <w:color w:val="000000" w:themeColor="text1"/>
        </w:rPr>
        <w:t xml:space="preserve"> Diagrama de cajas de los índices facial, cefálico y craneal. Las líneas negras dentro de los recuadros corresponden a la media. Las áreas grises equivales a los cuartiles superiores e inferiores. Las líneas horizontales izquierda y derecha los intervalos de valores mínimos y máximos. ILT = Isla La Tortuga, ISC = Isla San Carlos. El test de Kruskal-Wallis reflejó diferencia estadísticamente significativa para el Índice Craneal </w:t>
      </w:r>
      <w:r w:rsidRPr="009D3C92">
        <w:rPr>
          <w:rFonts w:ascii="Times New Roman" w:hAnsi="Times New Roman"/>
        </w:rPr>
        <w:t>(</w:t>
      </w:r>
      <w:r w:rsidRPr="009D3C92">
        <w:rPr>
          <w:rFonts w:ascii="Times New Roman" w:hAnsi="Times New Roman"/>
          <w:color w:val="0E101A"/>
        </w:rPr>
        <w:t>H = 8</w:t>
      </w:r>
      <w:r w:rsidR="00AF7FBA">
        <w:rPr>
          <w:rFonts w:ascii="Times New Roman" w:hAnsi="Times New Roman"/>
          <w:color w:val="0E101A"/>
        </w:rPr>
        <w:t>.</w:t>
      </w:r>
      <w:r w:rsidRPr="009D3C92">
        <w:rPr>
          <w:rFonts w:ascii="Times New Roman" w:hAnsi="Times New Roman"/>
          <w:color w:val="0E101A"/>
        </w:rPr>
        <w:t>575</w:t>
      </w:r>
      <w:r w:rsidR="00D4240B">
        <w:rPr>
          <w:rFonts w:ascii="Times New Roman" w:hAnsi="Times New Roman"/>
          <w:color w:val="0E101A"/>
        </w:rPr>
        <w:t>,</w:t>
      </w:r>
      <w:r w:rsidRPr="009D3C92">
        <w:rPr>
          <w:rFonts w:ascii="Times New Roman" w:hAnsi="Times New Roman"/>
          <w:color w:val="0E101A"/>
        </w:rPr>
        <w:t xml:space="preserve"> </w:t>
      </w:r>
      <w:r w:rsidRPr="00AF7FBA">
        <w:rPr>
          <w:rFonts w:ascii="Times New Roman" w:hAnsi="Times New Roman"/>
          <w:i/>
          <w:iCs/>
          <w:color w:val="0E101A"/>
        </w:rPr>
        <w:t>p</w:t>
      </w:r>
      <w:r w:rsidRPr="009D3C92">
        <w:rPr>
          <w:rFonts w:ascii="Times New Roman" w:hAnsi="Times New Roman"/>
          <w:color w:val="0E101A"/>
        </w:rPr>
        <w:t xml:space="preserve"> = 0</w:t>
      </w:r>
      <w:r w:rsidR="00AF7FBA">
        <w:rPr>
          <w:rFonts w:ascii="Times New Roman" w:hAnsi="Times New Roman"/>
          <w:color w:val="0E101A"/>
        </w:rPr>
        <w:t>.</w:t>
      </w:r>
      <w:r w:rsidRPr="009D3C92">
        <w:rPr>
          <w:rFonts w:ascii="Times New Roman" w:hAnsi="Times New Roman"/>
          <w:color w:val="0E101A"/>
        </w:rPr>
        <w:t>003)</w:t>
      </w:r>
      <w:r w:rsidRPr="009D3C92">
        <w:rPr>
          <w:rFonts w:ascii="Times New Roman" w:hAnsi="Times New Roman"/>
        </w:rPr>
        <w:t>.</w:t>
      </w:r>
    </w:p>
    <w:p w14:paraId="1D0330C5" w14:textId="77777777" w:rsidR="00EA2C5A" w:rsidRDefault="00EA2C5A"/>
    <w:sectPr w:rsidR="00EA2C5A" w:rsidSect="00F3484D">
      <w:headerReference w:type="defaul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541078" w14:textId="77777777" w:rsidR="00A530FA" w:rsidRDefault="00A530FA" w:rsidP="00EA2C5A">
      <w:r>
        <w:separator/>
      </w:r>
    </w:p>
  </w:endnote>
  <w:endnote w:type="continuationSeparator" w:id="0">
    <w:p w14:paraId="60CA6219" w14:textId="77777777" w:rsidR="00A530FA" w:rsidRDefault="00A530FA" w:rsidP="00EA2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796005" w14:textId="77777777" w:rsidR="00A530FA" w:rsidRDefault="00A530FA" w:rsidP="00EA2C5A">
      <w:r>
        <w:separator/>
      </w:r>
    </w:p>
  </w:footnote>
  <w:footnote w:type="continuationSeparator" w:id="0">
    <w:p w14:paraId="61AEB998" w14:textId="77777777" w:rsidR="00A530FA" w:rsidRDefault="00A530FA" w:rsidP="00EA2C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</w:rPr>
      <w:id w:val="106066281"/>
      <w:docPartObj>
        <w:docPartGallery w:val="Page Numbers (Top of Page)"/>
        <w:docPartUnique/>
      </w:docPartObj>
    </w:sdtPr>
    <w:sdtEndPr>
      <w:rPr>
        <w:rFonts w:ascii="New York" w:hAnsi="New York"/>
      </w:rPr>
    </w:sdtEndPr>
    <w:sdtContent>
      <w:p w14:paraId="43743340" w14:textId="53567E4D" w:rsidR="00EA2C5A" w:rsidRDefault="00EA2C5A" w:rsidP="00EA2C5A">
        <w:pPr>
          <w:pStyle w:val="Encabezado"/>
          <w:jc w:val="right"/>
        </w:pPr>
        <w:r>
          <w:rPr>
            <w:lang w:val="es-CO"/>
          </w:rPr>
          <w:t xml:space="preserve">Cañizales – </w:t>
        </w:r>
        <w:r>
          <w:rPr>
            <w:i/>
            <w:lang w:val="es-CO"/>
          </w:rPr>
          <w:t xml:space="preserve">Stenella frontalis </w:t>
        </w:r>
        <w:r>
          <w:rPr>
            <w:iCs/>
            <w:lang w:val="es-CO"/>
          </w:rPr>
          <w:t>de Venezuela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C5A"/>
    <w:rsid w:val="00032F3E"/>
    <w:rsid w:val="00034B2C"/>
    <w:rsid w:val="0005146A"/>
    <w:rsid w:val="00101F62"/>
    <w:rsid w:val="00192619"/>
    <w:rsid w:val="00192DD6"/>
    <w:rsid w:val="00224873"/>
    <w:rsid w:val="00273F8A"/>
    <w:rsid w:val="002C579E"/>
    <w:rsid w:val="00325EAE"/>
    <w:rsid w:val="004F3539"/>
    <w:rsid w:val="00677A04"/>
    <w:rsid w:val="00736324"/>
    <w:rsid w:val="007E006A"/>
    <w:rsid w:val="007E6B46"/>
    <w:rsid w:val="008906C3"/>
    <w:rsid w:val="00A530FA"/>
    <w:rsid w:val="00AB57AB"/>
    <w:rsid w:val="00AF7FBA"/>
    <w:rsid w:val="00B22FC5"/>
    <w:rsid w:val="00B678BC"/>
    <w:rsid w:val="00BE27EB"/>
    <w:rsid w:val="00C178E8"/>
    <w:rsid w:val="00C62CE9"/>
    <w:rsid w:val="00D4240B"/>
    <w:rsid w:val="00E2020C"/>
    <w:rsid w:val="00EA2C5A"/>
    <w:rsid w:val="00F3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F25E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C5A"/>
    <w:rPr>
      <w:rFonts w:ascii="New York" w:eastAsia="Times New Roman" w:hAnsi="New York" w:cs="Times New Roman"/>
      <w:snapToGrid w:val="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rsid w:val="00EA2C5A"/>
  </w:style>
  <w:style w:type="paragraph" w:styleId="Encabezado">
    <w:name w:val="header"/>
    <w:basedOn w:val="Normal"/>
    <w:link w:val="EncabezadoCar"/>
    <w:unhideWhenUsed/>
    <w:rsid w:val="00EA2C5A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rsid w:val="00EA2C5A"/>
    <w:rPr>
      <w:rFonts w:ascii="New York" w:eastAsia="Times New Roman" w:hAnsi="New York" w:cs="Times New Roman"/>
      <w:snapToGrid w:val="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A2C5A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A2C5A"/>
    <w:rPr>
      <w:rFonts w:ascii="New York" w:eastAsia="Times New Roman" w:hAnsi="New York" w:cs="Times New Roman"/>
      <w:snapToGrid w:val="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78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78E8"/>
    <w:rPr>
      <w:rFonts w:ascii="Tahoma" w:eastAsia="Times New Roman" w:hAnsi="Tahoma" w:cs="Tahoma"/>
      <w:snapToGrid w:val="0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C5A"/>
    <w:rPr>
      <w:rFonts w:ascii="New York" w:eastAsia="Times New Roman" w:hAnsi="New York" w:cs="Times New Roman"/>
      <w:snapToGrid w:val="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rsid w:val="00EA2C5A"/>
  </w:style>
  <w:style w:type="paragraph" w:styleId="Encabezado">
    <w:name w:val="header"/>
    <w:basedOn w:val="Normal"/>
    <w:link w:val="EncabezadoCar"/>
    <w:unhideWhenUsed/>
    <w:rsid w:val="00EA2C5A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rsid w:val="00EA2C5A"/>
    <w:rPr>
      <w:rFonts w:ascii="New York" w:eastAsia="Times New Roman" w:hAnsi="New York" w:cs="Times New Roman"/>
      <w:snapToGrid w:val="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A2C5A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A2C5A"/>
    <w:rPr>
      <w:rFonts w:ascii="New York" w:eastAsia="Times New Roman" w:hAnsi="New York" w:cs="Times New Roman"/>
      <w:snapToGrid w:val="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78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78E8"/>
    <w:rPr>
      <w:rFonts w:ascii="Tahoma" w:eastAsia="Times New Roman" w:hAnsi="Tahoma" w:cs="Tahoma"/>
      <w:snapToGrid w:val="0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391</Words>
  <Characters>2155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Windows User</cp:lastModifiedBy>
  <cp:revision>2</cp:revision>
  <dcterms:created xsi:type="dcterms:W3CDTF">2020-06-30T17:12:00Z</dcterms:created>
  <dcterms:modified xsi:type="dcterms:W3CDTF">2020-06-30T17:12:00Z</dcterms:modified>
</cp:coreProperties>
</file>